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1A50D1" w:rsidRPr="006C286D" w:rsidRDefault="00E00711" w:rsidP="001A50D1">
      <w:pPr>
        <w:ind w:left="409" w:hanging="4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</w:t>
      </w:r>
      <w:bookmarkStart w:id="0" w:name="_GoBack"/>
      <w:bookmarkEnd w:id="0"/>
      <w:r w:rsidR="001A50D1">
        <w:rPr>
          <w:b/>
          <w:sz w:val="32"/>
          <w:szCs w:val="32"/>
        </w:rPr>
        <w:t>II/2</w:t>
      </w:r>
      <w:r w:rsidR="000E48C3">
        <w:rPr>
          <w:b/>
          <w:sz w:val="32"/>
          <w:szCs w:val="32"/>
        </w:rPr>
        <w:t>20 + III/220 4 Modernizace křižovatky Děpoltovice</w:t>
      </w:r>
      <w:r>
        <w:rPr>
          <w:b/>
          <w:sz w:val="32"/>
          <w:szCs w:val="32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7F2" w:rsidRDefault="00C357F2">
      <w:r>
        <w:separator/>
      </w:r>
    </w:p>
  </w:endnote>
  <w:endnote w:type="continuationSeparator" w:id="0">
    <w:p w:rsidR="00C357F2" w:rsidRDefault="00C3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7F2" w:rsidRDefault="00C357F2">
      <w:r>
        <w:separator/>
      </w:r>
    </w:p>
  </w:footnote>
  <w:footnote w:type="continuationSeparator" w:id="0">
    <w:p w:rsidR="00C357F2" w:rsidRDefault="00C35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1A50D1">
      <w:rPr>
        <w:sz w:val="18"/>
        <w:szCs w:val="18"/>
      </w:rPr>
      <w:t>II/2</w:t>
    </w:r>
    <w:r w:rsidR="000E48C3">
      <w:rPr>
        <w:sz w:val="18"/>
        <w:szCs w:val="18"/>
      </w:rPr>
      <w:t>20 + III/220 4 Modernizace křižovatky Děpoltovice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8C3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A50D1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2CE2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B7DD4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0710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0711"/>
    <w:rsid w:val="00E023F1"/>
    <w:rsid w:val="00E23E78"/>
    <w:rsid w:val="00E365A1"/>
    <w:rsid w:val="00E504A1"/>
    <w:rsid w:val="00E54808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826B752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8</cp:revision>
  <cp:lastPrinted>2014-03-24T08:25:00Z</cp:lastPrinted>
  <dcterms:created xsi:type="dcterms:W3CDTF">2020-12-14T08:49:00Z</dcterms:created>
  <dcterms:modified xsi:type="dcterms:W3CDTF">2021-09-14T05:39:00Z</dcterms:modified>
</cp:coreProperties>
</file>