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25E70F44"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70573F">
        <w:rPr>
          <w:rFonts w:asciiTheme="minorHAnsi" w:hAnsiTheme="minorHAnsi" w:cstheme="minorHAnsi"/>
          <w:b/>
          <w:sz w:val="22"/>
          <w:szCs w:val="22"/>
          <w:lang w:val="cs-CZ"/>
        </w:rPr>
        <w:t>13</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2F1FA6" w:rsidRPr="002F1FA6">
        <w:rPr>
          <w:rFonts w:asciiTheme="minorHAnsi" w:hAnsiTheme="minorHAnsi" w:cstheme="minorHAnsi"/>
          <w:b/>
          <w:bCs/>
          <w:sz w:val="22"/>
          <w:szCs w:val="22"/>
          <w:lang w:val="cs-CZ"/>
        </w:rPr>
        <w:t>SOFOSBUVIRU A VELPATASVIRU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7BD5" w14:textId="77777777" w:rsidR="001F6AEC" w:rsidRDefault="001F6AEC">
      <w:r>
        <w:separator/>
      </w:r>
    </w:p>
  </w:endnote>
  <w:endnote w:type="continuationSeparator" w:id="0">
    <w:p w14:paraId="5A5DA29B" w14:textId="77777777" w:rsidR="001F6AEC" w:rsidRDefault="001F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A3AA" w14:textId="77777777" w:rsidR="001F6AEC" w:rsidRDefault="001F6AEC">
      <w:r>
        <w:separator/>
      </w:r>
    </w:p>
  </w:footnote>
  <w:footnote w:type="continuationSeparator" w:id="0">
    <w:p w14:paraId="78CE880C" w14:textId="77777777" w:rsidR="001F6AEC" w:rsidRDefault="001F6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1F6AE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573F"/>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33"/>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5101</Words>
  <Characters>30096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