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135D44F1" w:rsidR="00E46ED4" w:rsidRPr="00FE34ED" w:rsidRDefault="00955939" w:rsidP="00FE34ED">
      <w:pPr>
        <w:pStyle w:val="Nadpis5"/>
        <w:spacing w:after="240"/>
        <w:rPr>
          <w:rFonts w:ascii="Arial" w:hAnsi="Arial" w:cs="Arial"/>
          <w:spacing w:val="40"/>
          <w:szCs w:val="24"/>
        </w:rPr>
      </w:pPr>
      <w:r>
        <w:rPr>
          <w:rFonts w:ascii="Arial" w:hAnsi="Arial" w:cs="Arial"/>
          <w:spacing w:val="40"/>
          <w:szCs w:val="24"/>
        </w:rPr>
        <w:t>120</w:t>
      </w:r>
      <w:r w:rsidR="00CC2DAA" w:rsidRPr="00FE34ED">
        <w:rPr>
          <w:rFonts w:ascii="Arial" w:hAnsi="Arial" w:cs="Arial"/>
          <w:spacing w:val="40"/>
          <w:szCs w:val="24"/>
        </w:rPr>
        <w:t>SMLOUVA O DÍLO</w:t>
      </w:r>
    </w:p>
    <w:p w14:paraId="3C001259" w14:textId="77777777" w:rsidR="00160AF3" w:rsidRPr="003D3068" w:rsidRDefault="00160AF3" w:rsidP="00160AF3">
      <w:pPr>
        <w:spacing w:after="120" w:line="269" w:lineRule="auto"/>
        <w:ind w:left="-284" w:right="-285"/>
        <w:jc w:val="center"/>
        <w:rPr>
          <w:b/>
          <w:bCs/>
          <w:sz w:val="28"/>
          <w:szCs w:val="28"/>
        </w:rPr>
      </w:pPr>
      <w:bookmarkStart w:id="0" w:name="_Hlk221176364"/>
      <w:bookmarkStart w:id="1" w:name="_Hlk190414504"/>
      <w:r w:rsidRPr="00160AF3">
        <w:rPr>
          <w:rFonts w:ascii="Arial" w:hAnsi="Arial" w:cs="Arial"/>
          <w:b/>
          <w:sz w:val="28"/>
          <w:szCs w:val="28"/>
        </w:rPr>
        <w:t>Rozšíření</w:t>
      </w:r>
      <w:r w:rsidRPr="00160AF3">
        <w:rPr>
          <w:b/>
          <w:sz w:val="28"/>
          <w:szCs w:val="28"/>
        </w:rPr>
        <w:t xml:space="preserve"> parkovací kapacity pro RZP vozidlo v Ostrově</w:t>
      </w:r>
      <w:bookmarkEnd w:id="0"/>
    </w:p>
    <w:bookmarkEnd w:id="1"/>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25C62336" w14:textId="77777777" w:rsidR="00160AF3" w:rsidRPr="00762425" w:rsidRDefault="00160AF3" w:rsidP="00160AF3">
      <w:pPr>
        <w:pStyle w:val="Nadpis1"/>
        <w:keepLines/>
        <w:spacing w:line="276" w:lineRule="auto"/>
        <w:rPr>
          <w:rFonts w:ascii="Arial" w:hAnsi="Arial" w:cs="Arial"/>
          <w:sz w:val="20"/>
          <w:szCs w:val="22"/>
        </w:rPr>
      </w:pPr>
      <w:bookmarkStart w:id="2" w:name="_Hlk221195261"/>
      <w:r w:rsidRPr="00762425">
        <w:rPr>
          <w:rFonts w:ascii="Arial" w:hAnsi="Arial" w:cs="Arial"/>
          <w:szCs w:val="22"/>
        </w:rPr>
        <w:t>Karlovarský kraj</w:t>
      </w:r>
    </w:p>
    <w:p w14:paraId="3D4186D0" w14:textId="77777777" w:rsidR="00160AF3" w:rsidRPr="00762425" w:rsidRDefault="00160AF3" w:rsidP="00160AF3">
      <w:pPr>
        <w:keepNext/>
        <w:keepLines/>
        <w:tabs>
          <w:tab w:val="left" w:pos="1260"/>
        </w:tabs>
        <w:spacing w:line="276" w:lineRule="auto"/>
        <w:rPr>
          <w:rFonts w:ascii="Arial" w:hAnsi="Arial" w:cs="Arial"/>
          <w:szCs w:val="22"/>
        </w:rPr>
      </w:pPr>
      <w:r w:rsidRPr="00762425">
        <w:rPr>
          <w:rFonts w:ascii="Arial" w:hAnsi="Arial" w:cs="Arial"/>
          <w:szCs w:val="22"/>
        </w:rPr>
        <w:t>se sídlem:</w:t>
      </w:r>
      <w:r w:rsidRPr="00762425">
        <w:rPr>
          <w:rFonts w:ascii="Arial" w:hAnsi="Arial" w:cs="Arial"/>
          <w:szCs w:val="22"/>
        </w:rPr>
        <w:tab/>
      </w:r>
      <w:r w:rsidRPr="00762425">
        <w:rPr>
          <w:rFonts w:ascii="Arial" w:hAnsi="Arial" w:cs="Arial"/>
          <w:szCs w:val="22"/>
        </w:rPr>
        <w:tab/>
      </w:r>
      <w:r w:rsidRPr="00762425">
        <w:rPr>
          <w:rFonts w:ascii="Arial" w:hAnsi="Arial" w:cs="Arial"/>
          <w:szCs w:val="22"/>
        </w:rPr>
        <w:tab/>
        <w:t xml:space="preserve">Závodní 353/88, 360 06 Karlovy Vary </w:t>
      </w:r>
    </w:p>
    <w:bookmarkEnd w:id="2"/>
    <w:p w14:paraId="15DDBC3F" w14:textId="49964692" w:rsidR="00160AF3" w:rsidRPr="00762425" w:rsidRDefault="00160AF3" w:rsidP="00160AF3">
      <w:pPr>
        <w:keepNext/>
        <w:keepLines/>
        <w:spacing w:line="276" w:lineRule="auto"/>
        <w:ind w:left="2127" w:hanging="2127"/>
        <w:jc w:val="both"/>
        <w:rPr>
          <w:rFonts w:ascii="Arial" w:hAnsi="Arial" w:cs="Arial"/>
          <w:iCs/>
          <w:szCs w:val="22"/>
        </w:rPr>
      </w:pPr>
      <w:r w:rsidRPr="00762425">
        <w:rPr>
          <w:rFonts w:ascii="Arial" w:hAnsi="Arial" w:cs="Arial"/>
          <w:szCs w:val="22"/>
        </w:rPr>
        <w:t xml:space="preserve">zastoupený: </w:t>
      </w:r>
      <w:r w:rsidRPr="00762425">
        <w:rPr>
          <w:rFonts w:ascii="Arial" w:hAnsi="Arial" w:cs="Arial"/>
          <w:szCs w:val="22"/>
        </w:rPr>
        <w:tab/>
      </w:r>
      <w:r w:rsidR="000141BF" w:rsidRPr="00413781">
        <w:rPr>
          <w:rFonts w:ascii="Arial" w:hAnsi="Arial" w:cs="Arial"/>
          <w:iCs/>
          <w:szCs w:val="22"/>
        </w:rPr>
        <w:t xml:space="preserve">Ing. Tomášem Brtkem, </w:t>
      </w:r>
      <w:r w:rsidRPr="00413781">
        <w:rPr>
          <w:rFonts w:ascii="Arial" w:hAnsi="Arial" w:cs="Arial"/>
          <w:iCs/>
          <w:szCs w:val="22"/>
        </w:rPr>
        <w:t xml:space="preserve">vedoucím odboru </w:t>
      </w:r>
      <w:r w:rsidR="00D123EB" w:rsidRPr="00413781">
        <w:rPr>
          <w:rFonts w:ascii="Arial" w:hAnsi="Arial" w:cs="Arial"/>
          <w:iCs/>
          <w:szCs w:val="22"/>
        </w:rPr>
        <w:t>i</w:t>
      </w:r>
      <w:r w:rsidR="000141BF" w:rsidRPr="00413781">
        <w:rPr>
          <w:rFonts w:ascii="Arial" w:hAnsi="Arial" w:cs="Arial"/>
          <w:iCs/>
          <w:szCs w:val="22"/>
        </w:rPr>
        <w:t>n</w:t>
      </w:r>
      <w:r w:rsidR="00D123EB" w:rsidRPr="00413781">
        <w:rPr>
          <w:rFonts w:ascii="Arial" w:hAnsi="Arial" w:cs="Arial"/>
          <w:iCs/>
          <w:szCs w:val="22"/>
        </w:rPr>
        <w:t>vestic</w:t>
      </w:r>
      <w:r w:rsidRPr="00762425">
        <w:rPr>
          <w:rFonts w:ascii="Arial" w:hAnsi="Arial" w:cs="Arial"/>
          <w:iCs/>
          <w:szCs w:val="22"/>
        </w:rPr>
        <w:t xml:space="preserve"> </w:t>
      </w:r>
    </w:p>
    <w:p w14:paraId="768B78D4" w14:textId="77777777" w:rsidR="00160AF3" w:rsidRPr="00762425" w:rsidRDefault="00160AF3" w:rsidP="00160AF3">
      <w:pPr>
        <w:keepNext/>
        <w:keepLines/>
        <w:tabs>
          <w:tab w:val="left" w:pos="1260"/>
        </w:tabs>
        <w:spacing w:line="276" w:lineRule="auto"/>
        <w:rPr>
          <w:rFonts w:ascii="Arial" w:hAnsi="Arial" w:cs="Arial"/>
          <w:szCs w:val="22"/>
        </w:rPr>
      </w:pPr>
      <w:r w:rsidRPr="00762425">
        <w:rPr>
          <w:rFonts w:ascii="Arial" w:hAnsi="Arial" w:cs="Arial"/>
          <w:szCs w:val="22"/>
        </w:rPr>
        <w:t>IČO:</w:t>
      </w:r>
      <w:r w:rsidRPr="00762425">
        <w:rPr>
          <w:rFonts w:ascii="Arial" w:hAnsi="Arial" w:cs="Arial"/>
          <w:szCs w:val="22"/>
        </w:rPr>
        <w:tab/>
      </w:r>
      <w:r w:rsidRPr="00762425">
        <w:rPr>
          <w:rFonts w:ascii="Arial" w:hAnsi="Arial" w:cs="Arial"/>
          <w:szCs w:val="22"/>
        </w:rPr>
        <w:tab/>
      </w:r>
      <w:r w:rsidRPr="00762425">
        <w:rPr>
          <w:rFonts w:ascii="Arial" w:hAnsi="Arial" w:cs="Arial"/>
          <w:szCs w:val="22"/>
        </w:rPr>
        <w:tab/>
        <w:t>70891168</w:t>
      </w:r>
    </w:p>
    <w:p w14:paraId="5FA742D7" w14:textId="34E212F8" w:rsidR="00160AF3" w:rsidRPr="00762425" w:rsidRDefault="00160AF3" w:rsidP="003D3068">
      <w:pPr>
        <w:keepNext/>
        <w:keepLines/>
        <w:tabs>
          <w:tab w:val="left" w:pos="1260"/>
          <w:tab w:val="left" w:pos="1416"/>
          <w:tab w:val="left" w:pos="2124"/>
          <w:tab w:val="left" w:pos="2832"/>
          <w:tab w:val="left" w:pos="7476"/>
        </w:tabs>
        <w:spacing w:line="276" w:lineRule="auto"/>
        <w:rPr>
          <w:rFonts w:ascii="Arial" w:hAnsi="Arial" w:cs="Arial"/>
          <w:szCs w:val="22"/>
        </w:rPr>
      </w:pPr>
      <w:r w:rsidRPr="00762425">
        <w:rPr>
          <w:rFonts w:ascii="Arial" w:hAnsi="Arial" w:cs="Arial"/>
          <w:szCs w:val="22"/>
        </w:rPr>
        <w:t>DIČ:</w:t>
      </w:r>
      <w:r w:rsidRPr="00762425">
        <w:rPr>
          <w:rFonts w:ascii="Arial" w:hAnsi="Arial" w:cs="Arial"/>
          <w:szCs w:val="22"/>
        </w:rPr>
        <w:tab/>
      </w:r>
      <w:r w:rsidRPr="00762425">
        <w:rPr>
          <w:rFonts w:ascii="Arial" w:hAnsi="Arial" w:cs="Arial"/>
          <w:szCs w:val="22"/>
        </w:rPr>
        <w:tab/>
      </w:r>
      <w:r w:rsidRPr="00762425">
        <w:rPr>
          <w:rFonts w:ascii="Arial" w:hAnsi="Arial" w:cs="Arial"/>
          <w:szCs w:val="22"/>
        </w:rPr>
        <w:tab/>
        <w:t xml:space="preserve">CZ70891168 </w:t>
      </w:r>
      <w:r w:rsidR="003D3068">
        <w:rPr>
          <w:rFonts w:ascii="Arial" w:hAnsi="Arial" w:cs="Arial"/>
          <w:szCs w:val="22"/>
        </w:rPr>
        <w:tab/>
      </w:r>
    </w:p>
    <w:p w14:paraId="2EBC2C9D" w14:textId="77777777" w:rsidR="00160AF3" w:rsidRPr="00762425" w:rsidRDefault="00160AF3" w:rsidP="00160AF3">
      <w:pPr>
        <w:keepNext/>
        <w:keepLines/>
        <w:spacing w:line="276" w:lineRule="auto"/>
        <w:ind w:left="2127" w:hanging="2127"/>
        <w:jc w:val="both"/>
        <w:rPr>
          <w:rFonts w:ascii="Arial" w:hAnsi="Arial" w:cs="Arial"/>
          <w:szCs w:val="22"/>
        </w:rPr>
      </w:pPr>
      <w:r w:rsidRPr="00762425">
        <w:rPr>
          <w:rFonts w:ascii="Arial" w:hAnsi="Arial" w:cs="Arial"/>
          <w:szCs w:val="22"/>
        </w:rPr>
        <w:t>bankovní spojení:</w:t>
      </w:r>
      <w:r w:rsidRPr="00762425">
        <w:rPr>
          <w:rFonts w:ascii="Arial" w:hAnsi="Arial" w:cs="Arial"/>
          <w:szCs w:val="22"/>
        </w:rPr>
        <w:tab/>
        <w:t xml:space="preserve">UniCredit Bank č.ú.: 1387678928/2700 </w:t>
      </w:r>
    </w:p>
    <w:p w14:paraId="04085C34" w14:textId="77777777" w:rsidR="00160AF3" w:rsidRPr="00762425" w:rsidRDefault="00160AF3" w:rsidP="00160AF3">
      <w:pPr>
        <w:keepNext/>
        <w:keepLines/>
        <w:spacing w:line="276" w:lineRule="auto"/>
        <w:ind w:left="2127" w:hanging="2127"/>
        <w:jc w:val="both"/>
        <w:rPr>
          <w:rFonts w:ascii="Arial" w:hAnsi="Arial" w:cs="Arial"/>
          <w:szCs w:val="22"/>
        </w:rPr>
      </w:pPr>
      <w:r w:rsidRPr="00762425">
        <w:rPr>
          <w:rFonts w:ascii="Arial" w:hAnsi="Arial" w:cs="Arial"/>
          <w:szCs w:val="22"/>
        </w:rPr>
        <w:tab/>
        <w:t>Raiffeisenbank č.ú.: 7882138002/5500</w:t>
      </w:r>
    </w:p>
    <w:p w14:paraId="4FC5F036" w14:textId="77777777" w:rsidR="00160AF3" w:rsidRPr="00762425" w:rsidRDefault="00160AF3" w:rsidP="00160AF3">
      <w:pPr>
        <w:keepNext/>
        <w:keepLines/>
        <w:spacing w:line="276" w:lineRule="auto"/>
        <w:rPr>
          <w:rFonts w:ascii="Arial" w:hAnsi="Arial" w:cs="Arial"/>
          <w:szCs w:val="22"/>
        </w:rPr>
      </w:pP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6BB6B9DB"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0D8B0574" w:rsidR="00E46ED4" w:rsidRPr="00C2244B" w:rsidRDefault="00D24236" w:rsidP="005E1667">
      <w:pPr>
        <w:spacing w:after="24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soudem v </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oddíl</w:t>
      </w:r>
      <w:r w:rsidR="001C7899" w:rsidRPr="00A31274">
        <w:rPr>
          <w:rFonts w:ascii="Arial" w:eastAsiaTheme="minorHAnsi" w:hAnsi="Arial" w:cs="Arial"/>
          <w:color w:val="000000"/>
          <w:highlight w:val="yellow"/>
          <w:lang w:eastAsia="en-US"/>
        </w:rPr>
        <w:t>….</w:t>
      </w:r>
      <w:r w:rsidRPr="00A31274">
        <w:rPr>
          <w:rFonts w:ascii="Arial" w:eastAsiaTheme="minorHAnsi" w:hAnsi="Arial" w:cs="Arial"/>
          <w:color w:val="000000"/>
          <w:highlight w:val="yellow"/>
          <w:lang w:eastAsia="en-US"/>
        </w:rPr>
        <w:t xml:space="preserve"> </w:t>
      </w:r>
      <w:r w:rsidR="00A31274">
        <w:rPr>
          <w:rFonts w:ascii="Arial" w:eastAsiaTheme="minorHAnsi" w:hAnsi="Arial" w:cs="Arial"/>
          <w:color w:val="000000"/>
          <w:highlight w:val="yellow"/>
          <w:lang w:eastAsia="en-US"/>
        </w:rPr>
        <w:t>v</w:t>
      </w:r>
      <w:r w:rsidRPr="00A31274">
        <w:rPr>
          <w:rFonts w:ascii="Arial" w:eastAsiaTheme="minorHAnsi" w:hAnsi="Arial" w:cs="Arial"/>
          <w:color w:val="000000"/>
          <w:highlight w:val="yellow"/>
          <w:lang w:eastAsia="en-US"/>
        </w:rPr>
        <w:t>ložka</w:t>
      </w:r>
      <w:r w:rsidR="001C7899" w:rsidRPr="00A31274">
        <w:rPr>
          <w:rFonts w:ascii="Arial" w:eastAsiaTheme="minorHAnsi" w:hAnsi="Arial" w:cs="Arial"/>
          <w:color w:val="000000"/>
          <w:highlight w:val="yellow"/>
          <w:lang w:eastAsia="en-US"/>
        </w:rPr>
        <w:t xml:space="preserve"> ……</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5C7253D2" w:rsidR="00E87935"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w:t>
      </w:r>
      <w:bookmarkStart w:id="3" w:name="_Hlk221189842"/>
      <w:r w:rsidR="00160AF3" w:rsidRPr="00160AF3">
        <w:rPr>
          <w:rFonts w:ascii="Arial" w:hAnsi="Arial" w:cs="Arial"/>
        </w:rPr>
        <w:t>Rozšíření parkovací kapacity pro RZP vozidlo v Ostrově</w:t>
      </w:r>
      <w:bookmarkEnd w:id="3"/>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A31274">
        <w:rPr>
          <w:rFonts w:ascii="Arial" w:hAnsi="Arial" w:cs="Arial"/>
          <w:iCs/>
          <w:highlight w:val="lightGray"/>
        </w:rPr>
        <w:t>……………</w:t>
      </w:r>
      <w:r w:rsidR="00D24236">
        <w:rPr>
          <w:rFonts w:ascii="Arial" w:hAnsi="Arial" w:cs="Arial"/>
        </w:rPr>
        <w:t xml:space="preserve"> </w:t>
      </w:r>
      <w:r w:rsidR="00846CB5" w:rsidRPr="00D24236">
        <w:rPr>
          <w:rFonts w:ascii="Arial" w:hAnsi="Arial" w:cs="Arial"/>
        </w:rPr>
        <w:t>202</w:t>
      </w:r>
      <w:r w:rsidR="00160AF3">
        <w:rPr>
          <w:rFonts w:ascii="Arial" w:hAnsi="Arial" w:cs="Arial"/>
        </w:rPr>
        <w:t>6</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0A59AF">
        <w:rPr>
          <w:rFonts w:ascii="Arial" w:hAnsi="Arial" w:cs="Arial"/>
        </w:rPr>
        <w:t>výběrové</w:t>
      </w:r>
      <w:r w:rsidR="00460EA5">
        <w:rPr>
          <w:rFonts w:ascii="Arial" w:hAnsi="Arial" w:cs="Arial"/>
        </w:rPr>
        <w:t xml:space="preserve">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A31274">
      <w:pPr>
        <w:pStyle w:val="Odstavecseseznamem"/>
        <w:numPr>
          <w:ilvl w:val="0"/>
          <w:numId w:val="1"/>
        </w:numPr>
        <w:spacing w:after="80" w:line="276" w:lineRule="auto"/>
        <w:ind w:left="426" w:hanging="426"/>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4"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4"/>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lastRenderedPageBreak/>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564A0BF0" w14:textId="77777777" w:rsidR="009C5EAA" w:rsidRDefault="00C24CAF" w:rsidP="005E1667">
      <w:pPr>
        <w:pStyle w:val="BodyText21"/>
        <w:numPr>
          <w:ilvl w:val="0"/>
          <w:numId w:val="4"/>
        </w:numPr>
        <w:spacing w:after="80" w:line="276" w:lineRule="auto"/>
        <w:ind w:left="426" w:hanging="426"/>
        <w:rPr>
          <w:rFonts w:ascii="Arial" w:hAnsi="Arial" w:cs="Arial"/>
          <w:sz w:val="20"/>
        </w:rPr>
      </w:pPr>
      <w:r w:rsidRPr="009C5EAA">
        <w:rPr>
          <w:rFonts w:ascii="Arial" w:hAnsi="Arial" w:cs="Arial"/>
          <w:sz w:val="20"/>
        </w:rPr>
        <w:t>Předmětem plnění veřejné zakázky je provedení a obstarání veškerých prací a zhotovení děl nutných k úplnému dokončení a zprovoznění stavby</w:t>
      </w:r>
      <w:r w:rsidR="000A59AF" w:rsidRPr="009C5EAA">
        <w:rPr>
          <w:rFonts w:ascii="Arial" w:hAnsi="Arial" w:cs="Arial"/>
          <w:sz w:val="20"/>
        </w:rPr>
        <w:t xml:space="preserve"> </w:t>
      </w:r>
      <w:r w:rsidR="00FE34ED" w:rsidRPr="009C5EAA">
        <w:rPr>
          <w:rFonts w:ascii="Arial" w:hAnsi="Arial" w:cs="Arial"/>
          <w:sz w:val="20"/>
        </w:rPr>
        <w:t>„</w:t>
      </w:r>
      <w:r w:rsidR="009C5EAA" w:rsidRPr="009C5EAA">
        <w:rPr>
          <w:rFonts w:ascii="Arial" w:hAnsi="Arial" w:cs="Arial"/>
          <w:sz w:val="20"/>
        </w:rPr>
        <w:t>Rozšíření parkovací kapacity pro RZP vozidlo v</w:t>
      </w:r>
      <w:r w:rsidR="009C5EAA">
        <w:rPr>
          <w:rFonts w:ascii="Arial" w:hAnsi="Arial" w:cs="Arial"/>
          <w:sz w:val="20"/>
        </w:rPr>
        <w:t> </w:t>
      </w:r>
      <w:r w:rsidR="009C5EAA" w:rsidRPr="009C5EAA">
        <w:rPr>
          <w:rFonts w:ascii="Arial" w:hAnsi="Arial" w:cs="Arial"/>
          <w:sz w:val="20"/>
        </w:rPr>
        <w:t>Ostrově</w:t>
      </w:r>
      <w:r w:rsidR="009C5EAA">
        <w:rPr>
          <w:rFonts w:ascii="Arial" w:hAnsi="Arial" w:cs="Arial"/>
          <w:sz w:val="20"/>
        </w:rPr>
        <w:t>.</w:t>
      </w:r>
    </w:p>
    <w:p w14:paraId="66E467AC" w14:textId="236DF531" w:rsidR="00DF0AAB" w:rsidRPr="009C5EAA" w:rsidRDefault="009C5EAA" w:rsidP="005E1667">
      <w:pPr>
        <w:pStyle w:val="BodyText21"/>
        <w:numPr>
          <w:ilvl w:val="0"/>
          <w:numId w:val="4"/>
        </w:numPr>
        <w:spacing w:after="80" w:line="276" w:lineRule="auto"/>
        <w:ind w:left="426" w:hanging="426"/>
        <w:rPr>
          <w:rFonts w:ascii="Arial" w:hAnsi="Arial" w:cs="Arial"/>
          <w:sz w:val="20"/>
        </w:rPr>
      </w:pPr>
      <w:r w:rsidRPr="009C5EAA">
        <w:rPr>
          <w:rFonts w:ascii="Arial" w:hAnsi="Arial" w:cs="Arial"/>
          <w:sz w:val="20"/>
        </w:rPr>
        <w:t xml:space="preserve"> </w:t>
      </w:r>
      <w:r w:rsidR="00DF0AAB" w:rsidRPr="009C5EAA">
        <w:rPr>
          <w:rFonts w:ascii="Arial" w:hAnsi="Arial" w:cs="Arial"/>
          <w:sz w:val="20"/>
        </w:rPr>
        <w:t>Dílo je blíže specifikováno</w:t>
      </w:r>
    </w:p>
    <w:p w14:paraId="636A19B5" w14:textId="0641B2FE" w:rsidR="00DF0AAB" w:rsidRPr="00A25382" w:rsidRDefault="00A31274" w:rsidP="001E65CB">
      <w:pPr>
        <w:numPr>
          <w:ilvl w:val="0"/>
          <w:numId w:val="5"/>
        </w:numPr>
        <w:tabs>
          <w:tab w:val="clear" w:pos="1414"/>
        </w:tabs>
        <w:spacing w:after="80"/>
        <w:ind w:left="851" w:hanging="425"/>
        <w:jc w:val="both"/>
        <w:rPr>
          <w:rFonts w:ascii="Arial" w:hAnsi="Arial" w:cs="Arial"/>
        </w:rPr>
      </w:pPr>
      <w:r>
        <w:rPr>
          <w:rFonts w:ascii="Arial" w:hAnsi="Arial" w:cs="Arial"/>
        </w:rPr>
        <w:t>zadávací dokumentací</w:t>
      </w:r>
      <w:r w:rsidR="00DF0AAB" w:rsidRPr="00DF0AAB">
        <w:rPr>
          <w:rFonts w:ascii="Arial" w:hAnsi="Arial" w:cs="Arial"/>
        </w:rPr>
        <w:t xml:space="preserve"> k veřejné zakázce na </w:t>
      </w:r>
      <w:r w:rsidR="00FE34ED" w:rsidRPr="00FE34ED">
        <w:rPr>
          <w:rFonts w:ascii="Arial" w:hAnsi="Arial" w:cs="Arial"/>
        </w:rPr>
        <w:t>„</w:t>
      </w:r>
      <w:r w:rsidR="009C5EAA" w:rsidRPr="00160AF3">
        <w:rPr>
          <w:rFonts w:ascii="Arial" w:hAnsi="Arial" w:cs="Arial"/>
        </w:rPr>
        <w:t>Rozšíření parkovací kapacity pro RZP vozidlo v Ostrově</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44670F" w:rsidRPr="001E65CB">
        <w:rPr>
          <w:rFonts w:ascii="Arial" w:hAnsi="Arial" w:cs="Arial"/>
          <w:iCs/>
          <w:highlight w:val="lightGray"/>
        </w:rPr>
        <w:t>……………</w:t>
      </w:r>
      <w:r w:rsidR="0044670F">
        <w:rPr>
          <w:rFonts w:ascii="Arial" w:hAnsi="Arial" w:cs="Arial"/>
        </w:rPr>
        <w:t xml:space="preserve"> </w:t>
      </w:r>
      <w:r w:rsidR="00846CB5" w:rsidRPr="00D24236">
        <w:rPr>
          <w:rFonts w:ascii="Arial" w:hAnsi="Arial" w:cs="Arial"/>
        </w:rPr>
        <w:t>202</w:t>
      </w:r>
      <w:r w:rsidR="00E81266">
        <w:rPr>
          <w:rFonts w:ascii="Arial" w:hAnsi="Arial" w:cs="Arial"/>
        </w:rPr>
        <w:t>6</w:t>
      </w:r>
      <w:r w:rsidR="00F42A03" w:rsidRPr="00DC6C1F">
        <w:rPr>
          <w:rFonts w:ascii="Arial" w:hAnsi="Arial" w:cs="Arial"/>
        </w:rPr>
        <w:t xml:space="preserve"> (dále jen „</w:t>
      </w:r>
      <w:r w:rsidR="003D0FB2" w:rsidRPr="00DC6C1F">
        <w:rPr>
          <w:rFonts w:ascii="Arial" w:hAnsi="Arial" w:cs="Arial"/>
        </w:rPr>
        <w:t>d</w:t>
      </w:r>
      <w:r w:rsidR="00F07BE9" w:rsidRPr="00DC6C1F">
        <w:rPr>
          <w:rFonts w:ascii="Arial" w:hAnsi="Arial" w:cs="Arial"/>
        </w:rPr>
        <w:t>okumentace výběrového</w:t>
      </w:r>
      <w:r w:rsidR="00F07BE9">
        <w:rPr>
          <w:rFonts w:ascii="Arial" w:hAnsi="Arial" w:cs="Arial"/>
        </w:rPr>
        <w:t xml:space="preserve"> řízení</w:t>
      </w:r>
      <w:r w:rsidR="00F42A03">
        <w:rPr>
          <w:rFonts w:ascii="Arial" w:hAnsi="Arial" w:cs="Arial"/>
        </w:rPr>
        <w:t>“)</w:t>
      </w:r>
      <w:r w:rsidR="00DF0AAB" w:rsidRPr="00A25382">
        <w:rPr>
          <w:rFonts w:ascii="Arial" w:hAnsi="Arial" w:cs="Arial"/>
        </w:rPr>
        <w:t>;</w:t>
      </w:r>
    </w:p>
    <w:p w14:paraId="25ED55DA" w14:textId="41185B93" w:rsidR="00FE34ED" w:rsidRPr="00FF0DD6" w:rsidRDefault="00A2044D" w:rsidP="00FF0DD6">
      <w:pPr>
        <w:numPr>
          <w:ilvl w:val="0"/>
          <w:numId w:val="5"/>
        </w:numPr>
        <w:tabs>
          <w:tab w:val="clear" w:pos="1414"/>
        </w:tabs>
        <w:spacing w:after="80"/>
        <w:ind w:left="851" w:hanging="425"/>
        <w:jc w:val="both"/>
        <w:rPr>
          <w:rFonts w:ascii="Arial" w:hAnsi="Arial" w:cs="Arial"/>
        </w:rPr>
      </w:pPr>
      <w:r w:rsidRPr="0044670F">
        <w:rPr>
          <w:rFonts w:ascii="Arial" w:hAnsi="Arial" w:cs="Arial"/>
        </w:rPr>
        <w:t>projektovou</w:t>
      </w:r>
      <w:r w:rsidR="00FD3EE5" w:rsidRPr="0044670F">
        <w:rPr>
          <w:rFonts w:ascii="Arial" w:hAnsi="Arial" w:cs="Arial"/>
        </w:rPr>
        <w:t xml:space="preserve"> </w:t>
      </w:r>
      <w:r w:rsidR="00863363" w:rsidRPr="0044670F">
        <w:rPr>
          <w:rFonts w:ascii="Arial" w:hAnsi="Arial" w:cs="Arial"/>
        </w:rPr>
        <w:t>dokumentací</w:t>
      </w:r>
      <w:r w:rsidR="006A2E20" w:rsidRPr="0044670F">
        <w:rPr>
          <w:rFonts w:ascii="Arial" w:hAnsi="Arial" w:cs="Arial"/>
        </w:rPr>
        <w:t xml:space="preserve"> </w:t>
      </w:r>
      <w:r w:rsidR="007943BF" w:rsidRPr="0044670F">
        <w:rPr>
          <w:rFonts w:ascii="Arial" w:hAnsi="Arial" w:cs="Arial"/>
        </w:rPr>
        <w:t>„</w:t>
      </w:r>
      <w:r w:rsidR="00FF0DD6" w:rsidRPr="009C5EAA">
        <w:rPr>
          <w:rFonts w:ascii="Arial" w:hAnsi="Arial" w:cs="Arial"/>
        </w:rPr>
        <w:t>Rozšíření parkovací kapacity pro RZP vozidlo</w:t>
      </w:r>
      <w:r w:rsidR="00FF0DD6">
        <w:rPr>
          <w:rFonts w:ascii="Arial" w:hAnsi="Arial" w:cs="Arial"/>
        </w:rPr>
        <w:t xml:space="preserve"> </w:t>
      </w:r>
      <w:r w:rsidR="00FF0DD6" w:rsidRPr="009C5EAA">
        <w:rPr>
          <w:rFonts w:ascii="Arial" w:hAnsi="Arial" w:cs="Arial"/>
        </w:rPr>
        <w:t>v</w:t>
      </w:r>
      <w:r w:rsidR="00FF0DD6">
        <w:rPr>
          <w:rFonts w:ascii="Arial" w:hAnsi="Arial" w:cs="Arial"/>
        </w:rPr>
        <w:t> </w:t>
      </w:r>
      <w:r w:rsidR="00FF0DD6" w:rsidRPr="009C5EAA">
        <w:rPr>
          <w:rFonts w:ascii="Arial" w:hAnsi="Arial" w:cs="Arial"/>
        </w:rPr>
        <w:t>Ostrově</w:t>
      </w:r>
      <w:r w:rsidR="0044670F" w:rsidRPr="0044670F">
        <w:rPr>
          <w:rFonts w:ascii="Arial" w:hAnsi="Arial" w:cs="Arial"/>
        </w:rPr>
        <w:t>.</w:t>
      </w:r>
      <w:r w:rsidR="007943BF" w:rsidRPr="0044670F">
        <w:rPr>
          <w:rFonts w:ascii="Arial" w:hAnsi="Arial" w:cs="Arial"/>
        </w:rPr>
        <w:t>“</w:t>
      </w:r>
      <w:r w:rsidR="00863363" w:rsidRPr="0044670F">
        <w:rPr>
          <w:rFonts w:ascii="Arial" w:hAnsi="Arial" w:cs="Arial"/>
        </w:rPr>
        <w:t xml:space="preserve"> vypracovanou </w:t>
      </w:r>
      <w:r w:rsidR="00FF0DD6" w:rsidRPr="00FF0DD6">
        <w:rPr>
          <w:rFonts w:ascii="Arial" w:hAnsi="Arial" w:cs="Arial"/>
        </w:rPr>
        <w:t>projekční kancelář</w:t>
      </w:r>
      <w:r w:rsidR="00FF0DD6">
        <w:rPr>
          <w:rFonts w:ascii="Arial" w:hAnsi="Arial" w:cs="Arial"/>
        </w:rPr>
        <w:t>í</w:t>
      </w:r>
      <w:r w:rsidR="00FF0DD6" w:rsidRPr="00FF0DD6">
        <w:rPr>
          <w:rFonts w:ascii="Arial" w:hAnsi="Arial" w:cs="Arial"/>
        </w:rPr>
        <w:t xml:space="preserve"> DPT projekty Ostrov, s.r.o, Klínovecká 1407, IČO: 08728097, Hlavní inženýr projektu: Ing. Jan Dušek</w:t>
      </w:r>
    </w:p>
    <w:p w14:paraId="786927FE" w14:textId="188ED8D6" w:rsidR="00C2244B" w:rsidRDefault="00DF0AAB" w:rsidP="001E65CB">
      <w:pPr>
        <w:numPr>
          <w:ilvl w:val="0"/>
          <w:numId w:val="5"/>
        </w:numPr>
        <w:tabs>
          <w:tab w:val="clear" w:pos="1414"/>
        </w:tabs>
        <w:spacing w:after="80"/>
        <w:ind w:left="851" w:hanging="425"/>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1E65CB">
        <w:rPr>
          <w:rFonts w:ascii="Arial" w:hAnsi="Arial" w:cs="Arial"/>
          <w:iCs/>
          <w:highlight w:val="lightGray"/>
        </w:rPr>
        <w:t>……………</w:t>
      </w:r>
      <w:r w:rsidR="00862298">
        <w:rPr>
          <w:rFonts w:ascii="Arial" w:hAnsi="Arial" w:cs="Arial"/>
        </w:rPr>
        <w:t xml:space="preserve"> 2</w:t>
      </w:r>
      <w:r w:rsidR="00D24236">
        <w:rPr>
          <w:rFonts w:ascii="Arial" w:hAnsi="Arial" w:cs="Arial"/>
        </w:rPr>
        <w:t>02</w:t>
      </w:r>
      <w:r w:rsidR="00E81266">
        <w:rPr>
          <w:rFonts w:ascii="Arial" w:hAnsi="Arial" w:cs="Arial"/>
        </w:rPr>
        <w:t>6</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90A6E">
      <w:pPr>
        <w:numPr>
          <w:ilvl w:val="0"/>
          <w:numId w:val="35"/>
        </w:numPr>
        <w:tabs>
          <w:tab w:val="clear" w:pos="1414"/>
        </w:tabs>
        <w:spacing w:after="80"/>
        <w:ind w:left="851" w:hanging="425"/>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90A6E">
      <w:pPr>
        <w:numPr>
          <w:ilvl w:val="0"/>
          <w:numId w:val="35"/>
        </w:numPr>
        <w:tabs>
          <w:tab w:val="clear" w:pos="1414"/>
        </w:tabs>
        <w:spacing w:after="80"/>
        <w:ind w:left="851" w:hanging="425"/>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790A6E">
      <w:pPr>
        <w:numPr>
          <w:ilvl w:val="0"/>
          <w:numId w:val="35"/>
        </w:numPr>
        <w:tabs>
          <w:tab w:val="clear" w:pos="1414"/>
        </w:tabs>
        <w:spacing w:after="80"/>
        <w:ind w:left="851" w:hanging="425"/>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790A6E">
      <w:pPr>
        <w:numPr>
          <w:ilvl w:val="0"/>
          <w:numId w:val="35"/>
        </w:numPr>
        <w:tabs>
          <w:tab w:val="clear" w:pos="1414"/>
        </w:tabs>
        <w:spacing w:after="80"/>
        <w:ind w:left="851" w:hanging="425"/>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790A6E">
      <w:pPr>
        <w:numPr>
          <w:ilvl w:val="0"/>
          <w:numId w:val="35"/>
        </w:numPr>
        <w:tabs>
          <w:tab w:val="clear" w:pos="1414"/>
        </w:tabs>
        <w:spacing w:after="80"/>
        <w:ind w:left="851" w:hanging="425"/>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90A6E">
      <w:pPr>
        <w:numPr>
          <w:ilvl w:val="0"/>
          <w:numId w:val="28"/>
        </w:numPr>
        <w:tabs>
          <w:tab w:val="clear" w:pos="1414"/>
        </w:tabs>
        <w:spacing w:after="80"/>
        <w:ind w:left="851" w:hanging="425"/>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790A6E">
      <w:pPr>
        <w:numPr>
          <w:ilvl w:val="0"/>
          <w:numId w:val="28"/>
        </w:numPr>
        <w:tabs>
          <w:tab w:val="clear" w:pos="1414"/>
        </w:tabs>
        <w:spacing w:after="80"/>
        <w:ind w:left="851" w:hanging="425"/>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790A6E">
      <w:pPr>
        <w:numPr>
          <w:ilvl w:val="0"/>
          <w:numId w:val="28"/>
        </w:numPr>
        <w:tabs>
          <w:tab w:val="clear" w:pos="1414"/>
        </w:tabs>
        <w:spacing w:after="80"/>
        <w:ind w:left="851" w:hanging="425"/>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3D88508D" w:rsidR="00F42A03" w:rsidRDefault="00F42A03" w:rsidP="00790A6E">
      <w:pPr>
        <w:numPr>
          <w:ilvl w:val="0"/>
          <w:numId w:val="28"/>
        </w:numPr>
        <w:tabs>
          <w:tab w:val="clear" w:pos="1414"/>
        </w:tabs>
        <w:spacing w:after="80"/>
        <w:ind w:left="851" w:hanging="425"/>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1E65CB">
        <w:rPr>
          <w:rFonts w:ascii="Arial" w:hAnsi="Arial" w:cs="Arial"/>
          <w:iCs/>
          <w:highlight w:val="lightGray"/>
        </w:rPr>
        <w:t>……………</w:t>
      </w:r>
      <w:r w:rsidR="00241125">
        <w:rPr>
          <w:rFonts w:ascii="Arial" w:hAnsi="Arial" w:cs="Arial"/>
        </w:rPr>
        <w:t xml:space="preserve"> 202</w:t>
      </w:r>
      <w:r w:rsidR="00E81266">
        <w:rPr>
          <w:rFonts w:ascii="Arial" w:hAnsi="Arial" w:cs="Arial"/>
        </w:rPr>
        <w:t>6</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790A6E">
      <w:pPr>
        <w:numPr>
          <w:ilvl w:val="0"/>
          <w:numId w:val="28"/>
        </w:numPr>
        <w:tabs>
          <w:tab w:val="clear" w:pos="1414"/>
        </w:tabs>
        <w:spacing w:after="80"/>
        <w:ind w:left="851" w:hanging="425"/>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90A6E">
      <w:pPr>
        <w:numPr>
          <w:ilvl w:val="0"/>
          <w:numId w:val="28"/>
        </w:numPr>
        <w:tabs>
          <w:tab w:val="clear" w:pos="1414"/>
        </w:tabs>
        <w:spacing w:after="80"/>
        <w:ind w:left="851" w:hanging="425"/>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 xml:space="preserve">Objednatel je oprávněn kdykoliv v průběhu provádění díla rozšířit nebo zúžit rozsah díla, </w:t>
      </w:r>
      <w:r w:rsidRPr="00A2701F">
        <w:rPr>
          <w:rFonts w:ascii="Arial" w:hAnsi="Arial" w:cs="Arial"/>
          <w:sz w:val="20"/>
        </w:rPr>
        <w:lastRenderedPageBreak/>
        <w:t>předpokládaný touto smlouvou. Soupis navrhovaných změn objednatel předá zhotoviteli, který jej ocení v souladu s </w:t>
      </w:r>
      <w:r w:rsidRPr="00E21D69">
        <w:rPr>
          <w:rFonts w:ascii="Arial" w:hAnsi="Arial" w:cs="Arial"/>
          <w:sz w:val="20"/>
        </w:rPr>
        <w:t xml:space="preserve">ust.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41370516" w14:textId="4963F30B" w:rsidR="00A31274" w:rsidRPr="00710B40" w:rsidRDefault="00892B66">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w:t>
      </w:r>
      <w:r w:rsidRPr="00504C02">
        <w:rPr>
          <w:rFonts w:ascii="Arial" w:hAnsi="Arial" w:cs="Arial"/>
        </w:rPr>
        <w:t xml:space="preserve">nejpozději </w:t>
      </w:r>
      <w:r w:rsidR="002D7573" w:rsidRPr="00504C02">
        <w:rPr>
          <w:rFonts w:ascii="Arial" w:hAnsi="Arial" w:cs="Arial"/>
        </w:rPr>
        <w:t>150 dní od</w:t>
      </w:r>
      <w:r w:rsidR="002D7573" w:rsidRPr="002D7573">
        <w:rPr>
          <w:rFonts w:ascii="Arial" w:hAnsi="Arial" w:cs="Arial"/>
        </w:rPr>
        <w:t xml:space="preserve"> </w:t>
      </w:r>
      <w:r w:rsidR="00A31274">
        <w:rPr>
          <w:rFonts w:ascii="Arial" w:hAnsi="Arial" w:cs="Arial"/>
        </w:rPr>
        <w:t>předání staveniště</w:t>
      </w:r>
      <w:r w:rsidR="002D7573">
        <w:rPr>
          <w:rFonts w:ascii="Arial" w:hAnsi="Arial" w:cs="Arial"/>
        </w:rPr>
        <w:t>.</w:t>
      </w:r>
    </w:p>
    <w:p w14:paraId="27679063" w14:textId="09B2E801" w:rsidR="00710B40" w:rsidRPr="00710B40" w:rsidRDefault="00892B66" w:rsidP="001E65CB">
      <w:pPr>
        <w:numPr>
          <w:ilvl w:val="0"/>
          <w:numId w:val="6"/>
        </w:numPr>
        <w:spacing w:after="80"/>
        <w:jc w:val="both"/>
        <w:rPr>
          <w:rFonts w:ascii="Arial" w:hAnsi="Arial" w:cs="Arial"/>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r w:rsidR="00710B40" w:rsidRPr="00710B40">
        <w:rPr>
          <w:rFonts w:ascii="Arial" w:hAnsi="Arial" w:cs="Arial"/>
        </w:rPr>
        <w:t>Dílčími termíny jsou:</w:t>
      </w:r>
    </w:p>
    <w:p w14:paraId="62229E0E" w14:textId="09E89588" w:rsidR="00710B40" w:rsidRPr="00E81266" w:rsidRDefault="00710B40" w:rsidP="001E65CB">
      <w:pPr>
        <w:spacing w:after="120"/>
        <w:ind w:left="1056" w:hanging="489"/>
        <w:jc w:val="both"/>
        <w:rPr>
          <w:rFonts w:ascii="Arial" w:hAnsi="Arial" w:cs="Arial"/>
        </w:rPr>
      </w:pPr>
      <w:r>
        <w:rPr>
          <w:rFonts w:ascii="Arial" w:hAnsi="Arial" w:cs="Arial"/>
          <w:b/>
        </w:rPr>
        <w:t xml:space="preserve">  </w:t>
      </w:r>
      <w:r w:rsidRPr="001E65CB">
        <w:rPr>
          <w:rFonts w:ascii="Arial" w:hAnsi="Arial" w:cs="Arial"/>
        </w:rPr>
        <w:t>a)</w:t>
      </w:r>
      <w:r w:rsidRPr="001E65CB">
        <w:rPr>
          <w:rFonts w:ascii="Arial" w:hAnsi="Arial" w:cs="Arial"/>
        </w:rPr>
        <w:tab/>
        <w:t xml:space="preserve">předání staveniště: </w:t>
      </w:r>
      <w:r w:rsidR="00E81266" w:rsidRPr="00E81266">
        <w:rPr>
          <w:rFonts w:ascii="Arial" w:hAnsi="Arial" w:cs="Arial"/>
        </w:rPr>
        <w:t xml:space="preserve">do 10 kalendářních dnů od účinnosti smlouvy </w:t>
      </w:r>
    </w:p>
    <w:p w14:paraId="65166596" w14:textId="50510AEA" w:rsidR="00710B40" w:rsidRPr="001E65CB" w:rsidRDefault="00710B40" w:rsidP="001E65CB">
      <w:pPr>
        <w:spacing w:after="120"/>
        <w:ind w:left="1056" w:hanging="347"/>
        <w:jc w:val="both"/>
        <w:rPr>
          <w:rFonts w:ascii="Arial" w:hAnsi="Arial" w:cs="Arial"/>
        </w:rPr>
      </w:pPr>
      <w:r w:rsidRPr="001E65CB">
        <w:rPr>
          <w:rFonts w:ascii="Arial" w:hAnsi="Arial" w:cs="Arial"/>
        </w:rPr>
        <w:t>b)  dokončení veškerých stavebních prací a protokolární předání díla: do 1</w:t>
      </w:r>
      <w:r>
        <w:rPr>
          <w:rFonts w:ascii="Arial" w:hAnsi="Arial" w:cs="Arial"/>
        </w:rPr>
        <w:t>5</w:t>
      </w:r>
      <w:r w:rsidRPr="001E65CB">
        <w:rPr>
          <w:rFonts w:ascii="Arial" w:hAnsi="Arial" w:cs="Arial"/>
        </w:rPr>
        <w:t xml:space="preserve">0 dnů od </w:t>
      </w:r>
      <w:r>
        <w:rPr>
          <w:rFonts w:ascii="Arial" w:hAnsi="Arial" w:cs="Arial"/>
        </w:rPr>
        <w:t>předání staveniště</w:t>
      </w:r>
      <w:r w:rsidRPr="001E65CB">
        <w:rPr>
          <w:rFonts w:ascii="Arial" w:hAnsi="Arial" w:cs="Arial"/>
        </w:rPr>
        <w:t>.</w:t>
      </w:r>
    </w:p>
    <w:p w14:paraId="2887BDB2" w14:textId="0136AD6A" w:rsidR="00892B66" w:rsidRPr="00892B66" w:rsidRDefault="00892B66" w:rsidP="002D7573">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23B45AE0"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po sobě jdoucích kalendářních dnech</w:t>
      </w:r>
      <w:r w:rsidR="00710B40">
        <w:rPr>
          <w:rFonts w:ascii="Arial" w:hAnsi="Arial" w:cs="Arial"/>
        </w:rPr>
        <w:t>, a to</w:t>
      </w:r>
      <w:r w:rsidRPr="00892B66">
        <w:rPr>
          <w:rFonts w:ascii="Arial" w:hAnsi="Arial" w:cs="Arial"/>
        </w:rPr>
        <w:t xml:space="preserve"> nejpozději </w:t>
      </w:r>
      <w:r w:rsidR="00710B40">
        <w:rPr>
          <w:rFonts w:ascii="Arial" w:hAnsi="Arial" w:cs="Arial"/>
        </w:rPr>
        <w:t>ke dni předání staveniště</w:t>
      </w:r>
      <w:r w:rsidRPr="00892B66">
        <w:rPr>
          <w:rFonts w:ascii="Arial" w:hAnsi="Arial" w:cs="Arial"/>
        </w:rPr>
        <w:t>.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70B2443E" w14:textId="10F1B3ED" w:rsidR="00E81266" w:rsidRPr="00E81266" w:rsidRDefault="00021985" w:rsidP="00E81266">
      <w:pPr>
        <w:pStyle w:val="Odstavecseseznamem"/>
        <w:numPr>
          <w:ilvl w:val="0"/>
          <w:numId w:val="7"/>
        </w:numPr>
        <w:jc w:val="both"/>
        <w:rPr>
          <w:rFonts w:ascii="Arial" w:hAnsi="Arial" w:cs="Arial"/>
        </w:rPr>
      </w:pPr>
      <w:r w:rsidRPr="00E81266">
        <w:rPr>
          <w:rFonts w:ascii="Arial" w:hAnsi="Arial" w:cs="Arial"/>
        </w:rPr>
        <w:t>Zhotovitel se zavazuje provést dílo</w:t>
      </w:r>
      <w:r w:rsidR="009D523A" w:rsidRPr="009D523A">
        <w:t xml:space="preserve"> </w:t>
      </w:r>
      <w:r w:rsidR="009D523A" w:rsidRPr="00E81266">
        <w:rPr>
          <w:rFonts w:ascii="Arial" w:hAnsi="Arial" w:cs="Arial"/>
        </w:rPr>
        <w:t>na adrese</w:t>
      </w:r>
      <w:r w:rsidR="00E81266" w:rsidRPr="00E81266">
        <w:rPr>
          <w:sz w:val="24"/>
          <w:szCs w:val="24"/>
        </w:rPr>
        <w:t xml:space="preserve"> </w:t>
      </w:r>
      <w:r w:rsidR="00E81266" w:rsidRPr="00E81266">
        <w:rPr>
          <w:rFonts w:ascii="Arial" w:hAnsi="Arial" w:cs="Arial"/>
        </w:rPr>
        <w:t>Ostrov, Jáchymovská ul. na pozemku st. p. 3259, parc. č. 1006/3, 1006/13 v katastrálním území Ostrov nad Ohří</w:t>
      </w:r>
      <w:r w:rsidR="00E81266">
        <w:rPr>
          <w:rFonts w:ascii="Arial" w:hAnsi="Arial" w:cs="Arial"/>
        </w:rPr>
        <w:t>.</w:t>
      </w:r>
    </w:p>
    <w:p w14:paraId="72863755" w14:textId="37C60BD2" w:rsidR="009D523A" w:rsidRPr="00E81266" w:rsidRDefault="009D523A" w:rsidP="00E81266">
      <w:pPr>
        <w:pStyle w:val="Odstavecseseznamem"/>
        <w:ind w:left="624"/>
        <w:jc w:val="both"/>
        <w:rPr>
          <w:rFonts w:ascii="Arial" w:hAnsi="Arial" w:cs="Arial"/>
        </w:rPr>
      </w:pPr>
      <w:r w:rsidRPr="00E81266">
        <w:rPr>
          <w:rFonts w:ascii="Arial" w:hAnsi="Arial" w:cs="Arial"/>
        </w:rPr>
        <w:t xml:space="preserve"> </w:t>
      </w:r>
    </w:p>
    <w:p w14:paraId="20115E56" w14:textId="2C21EC43"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projektov</w:t>
      </w:r>
      <w:r w:rsidRPr="00021985">
        <w:rPr>
          <w:rFonts w:ascii="Arial" w:hAnsi="Arial" w:cs="Arial"/>
        </w:rPr>
        <w:t>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Pr="00862298">
        <w:rPr>
          <w:rFonts w:ascii="Arial" w:hAnsi="Arial" w:cs="Arial"/>
        </w:rPr>
        <w:t xml:space="preserve"> </w:t>
      </w:r>
      <w:r w:rsidR="009038C3" w:rsidRPr="00862298">
        <w:rPr>
          <w:rFonts w:ascii="Arial" w:hAnsi="Arial" w:cs="Arial"/>
        </w:rPr>
        <w:t>Kč</w:t>
      </w:r>
    </w:p>
    <w:p w14:paraId="2F84D724" w14:textId="48A9A09E"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1</w:t>
      </w:r>
      <w:r w:rsidR="00D1112D">
        <w:rPr>
          <w:rFonts w:ascii="Arial" w:hAnsi="Arial" w:cs="Arial"/>
        </w:rPr>
        <w:t>2</w:t>
      </w:r>
      <w:r w:rsidRPr="00862298">
        <w:rPr>
          <w:rFonts w:ascii="Arial" w:hAnsi="Arial" w:cs="Arial"/>
        </w:rPr>
        <w:t>%</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w:t>
      </w:r>
      <w:r w:rsidRPr="00E97370">
        <w:rPr>
          <w:rFonts w:ascii="Arial" w:hAnsi="Arial" w:cs="Arial"/>
        </w:rPr>
        <w:lastRenderedPageBreak/>
        <w:t xml:space="preserve">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7E5FB735" w14:textId="22A6E99F" w:rsidR="006426D1" w:rsidRPr="009A323D" w:rsidRDefault="0030685E" w:rsidP="006426D1">
      <w:pPr>
        <w:numPr>
          <w:ilvl w:val="0"/>
          <w:numId w:val="8"/>
        </w:numPr>
        <w:spacing w:after="80"/>
        <w:jc w:val="both"/>
        <w:rPr>
          <w:rFonts w:ascii="Arial" w:hAnsi="Arial" w:cs="Arial"/>
        </w:rPr>
      </w:pPr>
      <w:r w:rsidRPr="000871FD">
        <w:rPr>
          <w:rFonts w:ascii="Arial" w:hAnsi="Arial" w:cs="Arial"/>
        </w:rPr>
        <w:t xml:space="preserve">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w:t>
      </w:r>
      <w:r w:rsidRPr="006E1553">
        <w:rPr>
          <w:rFonts w:ascii="Arial" w:hAnsi="Arial" w:cs="Arial"/>
          <w:highlight w:val="lightGray"/>
        </w:rPr>
        <w:t>schránky</w:t>
      </w:r>
      <w:r w:rsidR="00AB4418" w:rsidRPr="006E1553">
        <w:rPr>
          <w:rFonts w:ascii="Arial" w:hAnsi="Arial" w:cs="Arial"/>
          <w:iCs/>
          <w:highlight w:val="lightGray"/>
        </w:rPr>
        <w:t xml:space="preserve"> </w:t>
      </w:r>
      <w:r w:rsidR="00A001A5">
        <w:rPr>
          <w:rFonts w:ascii="Raleway" w:hAnsi="Raleway"/>
          <w:color w:val="FFFFFF"/>
          <w:highlight w:val="lightGray"/>
        </w:rPr>
        <w:t xml:space="preserve">              </w:t>
      </w:r>
      <w:r w:rsidR="00AB4418" w:rsidRPr="009A323D">
        <w:rPr>
          <w:rFonts w:ascii="Arial" w:hAnsi="Arial" w:cs="Arial"/>
          <w:b/>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5" w:name="_Hlk190694180"/>
      <w:bookmarkStart w:id="6"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5"/>
    <w:bookmarkEnd w:id="6"/>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29644C2" w14:textId="77777777" w:rsidR="004A437F" w:rsidRPr="00492ACC" w:rsidRDefault="004A437F" w:rsidP="004A437F">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Pr>
          <w:rFonts w:ascii="Arial" w:hAnsi="Arial" w:cs="Arial"/>
        </w:rPr>
        <w:t>.</w:t>
      </w:r>
    </w:p>
    <w:p w14:paraId="29D87DDA" w14:textId="3EACCDF6" w:rsidR="004A437F" w:rsidRDefault="004A437F" w:rsidP="004A437F">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w:t>
      </w:r>
      <w:r w:rsidRPr="00E97370">
        <w:rPr>
          <w:rFonts w:ascii="Arial" w:hAnsi="Arial" w:cs="Arial"/>
        </w:rPr>
        <w:lastRenderedPageBreak/>
        <w:t xml:space="preserve">nespolehlivým plátcem ve smyslu ustanovení § 106a </w:t>
      </w:r>
      <w:r w:rsidR="00807AE0">
        <w:rPr>
          <w:rFonts w:ascii="Arial" w:hAnsi="Arial" w:cs="Arial"/>
        </w:rPr>
        <w:t>Z</w:t>
      </w:r>
      <w:r w:rsidRPr="00E97370">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sidR="00807AE0">
        <w:rPr>
          <w:rFonts w:ascii="Arial" w:hAnsi="Arial" w:cs="Arial"/>
        </w:rPr>
        <w:t>Z</w:t>
      </w:r>
      <w:r w:rsidRPr="00E97370">
        <w:rPr>
          <w:rFonts w:ascii="Arial" w:hAnsi="Arial" w:cs="Arial"/>
        </w:rPr>
        <w:t xml:space="preserve">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Pr>
          <w:rFonts w:ascii="Arial" w:hAnsi="Arial" w:cs="Arial"/>
        </w:rPr>
        <w:br/>
      </w:r>
      <w:r w:rsidRPr="00E97370">
        <w:rPr>
          <w:rFonts w:ascii="Arial" w:hAnsi="Arial" w:cs="Arial"/>
        </w:rPr>
        <w:t xml:space="preserve">při vzájemném poskytování informací požadovaných </w:t>
      </w:r>
      <w:r w:rsidR="00807AE0">
        <w:rPr>
          <w:rFonts w:ascii="Arial" w:hAnsi="Arial" w:cs="Arial"/>
        </w:rPr>
        <w:t>Z</w:t>
      </w:r>
      <w:r w:rsidRPr="00E97370">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sidR="00807AE0">
        <w:rPr>
          <w:rFonts w:ascii="Arial" w:hAnsi="Arial" w:cs="Arial"/>
        </w:rPr>
        <w:t>Z</w:t>
      </w:r>
      <w:r w:rsidRPr="00E97370">
        <w:rPr>
          <w:rFonts w:ascii="Arial" w:hAnsi="Arial" w:cs="Arial"/>
        </w:rPr>
        <w:t>DPH.</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90A6E">
      <w:pPr>
        <w:numPr>
          <w:ilvl w:val="0"/>
          <w:numId w:val="10"/>
        </w:numPr>
        <w:spacing w:after="80"/>
        <w:jc w:val="both"/>
        <w:rPr>
          <w:rFonts w:ascii="Arial" w:hAnsi="Arial" w:cs="Arial"/>
        </w:rPr>
      </w:pPr>
      <w:r w:rsidRPr="00FB3427">
        <w:rPr>
          <w:rFonts w:ascii="Arial" w:hAnsi="Arial" w:cs="Arial"/>
        </w:rPr>
        <w:t>Zhotovitel prohlašuje, že:</w:t>
      </w:r>
    </w:p>
    <w:p w14:paraId="3BA4035C" w14:textId="77777777" w:rsidR="00FB3427" w:rsidRPr="007D61E4" w:rsidRDefault="00FB3427" w:rsidP="00790A6E">
      <w:pPr>
        <w:pStyle w:val="BodyText21"/>
        <w:numPr>
          <w:ilvl w:val="0"/>
          <w:numId w:val="39"/>
        </w:numPr>
        <w:spacing w:after="120"/>
        <w:ind w:left="993" w:hanging="306"/>
        <w:rPr>
          <w:rFonts w:ascii="Arial" w:hAnsi="Arial" w:cs="Arial"/>
          <w:sz w:val="20"/>
        </w:rPr>
      </w:pPr>
      <w:r w:rsidRPr="007D61E4">
        <w:rPr>
          <w:rFonts w:ascii="Arial" w:hAnsi="Arial" w:cs="Arial"/>
          <w:sz w:val="20"/>
        </w:rPr>
        <w:t xml:space="preserve">není jako právnická osoba v likvidaci;  </w:t>
      </w:r>
    </w:p>
    <w:p w14:paraId="1E21A3C9" w14:textId="6436D42D" w:rsidR="00FB3427" w:rsidRPr="007D61E4" w:rsidRDefault="00FB3427" w:rsidP="00790A6E">
      <w:pPr>
        <w:pStyle w:val="BodyText21"/>
        <w:numPr>
          <w:ilvl w:val="0"/>
          <w:numId w:val="39"/>
        </w:numPr>
        <w:spacing w:after="120"/>
        <w:ind w:left="993" w:hanging="306"/>
        <w:rPr>
          <w:rFonts w:ascii="Arial" w:hAnsi="Arial" w:cs="Arial"/>
          <w:sz w:val="20"/>
        </w:rPr>
      </w:pPr>
      <w:r w:rsidRPr="007D61E4">
        <w:rPr>
          <w:rFonts w:ascii="Arial" w:hAnsi="Arial" w:cs="Arial"/>
          <w:sz w:val="20"/>
        </w:rPr>
        <w:t>není proti němu vedeno insolvenční řízení ve smyslu zákona č. 182/2006 Sb., o úpadku a způsobech jeho řešení (insolvenční zákon),</w:t>
      </w:r>
      <w:r w:rsidR="00526A2B" w:rsidRPr="007D61E4">
        <w:rPr>
          <w:rFonts w:ascii="Arial" w:hAnsi="Arial" w:cs="Arial"/>
          <w:sz w:val="20"/>
        </w:rPr>
        <w:t xml:space="preserve"> ve znění pozdějších předpisů,</w:t>
      </w:r>
      <w:r w:rsidRPr="007D61E4">
        <w:rPr>
          <w:rFonts w:ascii="Arial" w:hAnsi="Arial" w:cs="Arial"/>
          <w:sz w:val="20"/>
        </w:rPr>
        <w:t xml:space="preserve"> a dále není předlužen či neschopen plnit své splatné závazky vůči svým věřitelům;</w:t>
      </w:r>
    </w:p>
    <w:p w14:paraId="0B9514D0" w14:textId="2676BC55" w:rsidR="00FB3427" w:rsidRPr="007D61E4" w:rsidRDefault="00FB3427" w:rsidP="00790A6E">
      <w:pPr>
        <w:pStyle w:val="BodyText21"/>
        <w:numPr>
          <w:ilvl w:val="0"/>
          <w:numId w:val="39"/>
        </w:numPr>
        <w:spacing w:after="120"/>
        <w:ind w:left="993" w:hanging="306"/>
        <w:rPr>
          <w:rFonts w:ascii="Arial" w:hAnsi="Arial" w:cs="Arial"/>
          <w:sz w:val="20"/>
        </w:rPr>
      </w:pPr>
      <w:r w:rsidRPr="007D61E4">
        <w:rPr>
          <w:rFonts w:ascii="Arial" w:hAnsi="Arial" w:cs="Arial"/>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4A437F">
        <w:rPr>
          <w:rFonts w:ascii="Arial" w:hAnsi="Arial" w:cs="Arial"/>
          <w:sz w:val="20"/>
        </w:rPr>
        <w:t>.</w:t>
      </w:r>
    </w:p>
    <w:p w14:paraId="0E52E85F" w14:textId="3CF30FB4" w:rsidR="009C2DBD" w:rsidRPr="009C2DBD" w:rsidRDefault="009C2DBD" w:rsidP="009C2DBD">
      <w:pPr>
        <w:numPr>
          <w:ilvl w:val="0"/>
          <w:numId w:val="10"/>
        </w:numPr>
        <w:spacing w:after="80"/>
        <w:jc w:val="both"/>
        <w:rPr>
          <w:rFonts w:ascii="Arial" w:hAnsi="Arial" w:cs="Arial"/>
        </w:rPr>
      </w:pPr>
      <w:r w:rsidRPr="009C2DBD">
        <w:rPr>
          <w:rFonts w:ascii="Arial" w:hAnsi="Arial" w:cs="Arial"/>
        </w:rPr>
        <w:t>Zhotovitel se zavazuje udržovat staveniště po celou dobu realizace díla v řádném stavu a čistotě a na své náklady průběžně odstraňovat veškeré odpady a nečistoty vzniklé při provádění díla. Současně se zavazuje zajistit obecnou bezpečnost osob a majetku v prostoru staveniště i jeho bezprostředního okolí.</w:t>
      </w:r>
    </w:p>
    <w:p w14:paraId="7DEFEC6F" w14:textId="5458AD82" w:rsidR="009C2DBD" w:rsidRPr="009C2DBD" w:rsidRDefault="009C2DBD" w:rsidP="009C2DBD">
      <w:pPr>
        <w:numPr>
          <w:ilvl w:val="0"/>
          <w:numId w:val="10"/>
        </w:numPr>
        <w:spacing w:after="80"/>
        <w:jc w:val="both"/>
        <w:rPr>
          <w:rFonts w:ascii="Arial" w:hAnsi="Arial" w:cs="Arial"/>
        </w:rPr>
      </w:pPr>
      <w:r w:rsidRPr="009C2DBD">
        <w:rPr>
          <w:rFonts w:ascii="Arial" w:hAnsi="Arial" w:cs="Arial"/>
        </w:rPr>
        <w:t>Zhotovitel je povinen informovat objednatele nejméně 5 kalendářních dnů předem o záměru provádět práce, které mohou způsobit omezení objednatele v místě stavby nebo v jejím okolí. V této souvislosti je zhotovitel povinen navrhnout vhodná opatření k minimalizaci těchto omezení a projednat je s objednatelem.</w:t>
      </w:r>
    </w:p>
    <w:p w14:paraId="725F0945" w14:textId="4C6BAD28" w:rsidR="009C2DBD" w:rsidRPr="009C2DBD" w:rsidRDefault="009C2DBD" w:rsidP="009C2DBD">
      <w:pPr>
        <w:numPr>
          <w:ilvl w:val="0"/>
          <w:numId w:val="10"/>
        </w:numPr>
        <w:spacing w:after="80"/>
        <w:jc w:val="both"/>
        <w:rPr>
          <w:rFonts w:ascii="Arial" w:hAnsi="Arial" w:cs="Arial"/>
        </w:rPr>
      </w:pPr>
      <w:r w:rsidRPr="009C2DBD">
        <w:rPr>
          <w:rFonts w:ascii="Arial" w:hAnsi="Arial" w:cs="Arial"/>
        </w:rPr>
        <w:t>Činnost ZZSKVK nesmí být ohrožena ani omezena. Po celou dobu realizace musí být zajištěn nepřetržitý vjezd a výjezd z výjezdových garáží.</w:t>
      </w:r>
    </w:p>
    <w:p w14:paraId="17994AFD" w14:textId="534F2FE6" w:rsidR="009C2DBD" w:rsidRPr="009C2DBD" w:rsidRDefault="009C2DBD" w:rsidP="009C2DBD">
      <w:pPr>
        <w:numPr>
          <w:ilvl w:val="0"/>
          <w:numId w:val="10"/>
        </w:numPr>
        <w:spacing w:after="80"/>
        <w:jc w:val="both"/>
        <w:rPr>
          <w:rFonts w:ascii="Arial" w:hAnsi="Arial" w:cs="Arial"/>
        </w:rPr>
      </w:pPr>
      <w:r w:rsidRPr="009C2DBD">
        <w:rPr>
          <w:rFonts w:ascii="Arial" w:hAnsi="Arial" w:cs="Arial"/>
        </w:rPr>
        <w:t>Jakékoli vypnutí nebo odstavení energií musí být předem projednáno a písemně odsouhlaseno pověřenou osobou za zadavatele, a to s dostatečným předstihem, minimálně 3 pracovní dny před plánovaným vypnutím.</w:t>
      </w:r>
    </w:p>
    <w:p w14:paraId="23D77CFF" w14:textId="6EDE7F9C" w:rsidR="00FB3427" w:rsidRPr="00F44B4E" w:rsidRDefault="009C2DBD" w:rsidP="009C2DBD">
      <w:pPr>
        <w:numPr>
          <w:ilvl w:val="0"/>
          <w:numId w:val="10"/>
        </w:numPr>
        <w:spacing w:after="80"/>
        <w:jc w:val="both"/>
        <w:rPr>
          <w:rFonts w:ascii="Arial" w:hAnsi="Arial" w:cs="Arial"/>
        </w:rPr>
      </w:pPr>
      <w:r w:rsidRPr="009C2DBD">
        <w:rPr>
          <w:rFonts w:ascii="Arial" w:hAnsi="Arial" w:cs="Arial"/>
        </w:rPr>
        <w:t>Zhotovitel je dále povinen zajišťovat úklid příjezdové komunikace a pravidelný úklid garáží, přičemž základna je považována za zdravotnické zařízení, čemuž musí odpovídat režim čistoty a údržby.</w:t>
      </w:r>
    </w:p>
    <w:p w14:paraId="0EDA0B5A" w14:textId="77777777" w:rsidR="00FB3427" w:rsidRPr="00FB3427" w:rsidRDefault="00FB3427" w:rsidP="00790A6E">
      <w:pPr>
        <w:numPr>
          <w:ilvl w:val="0"/>
          <w:numId w:val="10"/>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790A6E">
      <w:pPr>
        <w:numPr>
          <w:ilvl w:val="0"/>
          <w:numId w:val="10"/>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790A6E">
      <w:pPr>
        <w:numPr>
          <w:ilvl w:val="0"/>
          <w:numId w:val="10"/>
        </w:numPr>
        <w:spacing w:after="80"/>
        <w:jc w:val="both"/>
        <w:rPr>
          <w:rFonts w:ascii="Arial" w:hAnsi="Arial" w:cs="Arial"/>
        </w:rPr>
      </w:pPr>
      <w:r w:rsidRPr="00FB3427">
        <w:rPr>
          <w:rFonts w:ascii="Arial" w:hAnsi="Arial" w:cs="Arial"/>
        </w:rPr>
        <w:lastRenderedPageBreak/>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90A6E">
      <w:pPr>
        <w:numPr>
          <w:ilvl w:val="0"/>
          <w:numId w:val="10"/>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90A6E">
      <w:pPr>
        <w:numPr>
          <w:ilvl w:val="0"/>
          <w:numId w:val="10"/>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790A6E">
      <w:pPr>
        <w:numPr>
          <w:ilvl w:val="0"/>
          <w:numId w:val="10"/>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30617B76" w14:textId="77777777" w:rsidR="00790A6E" w:rsidRPr="00790A6E" w:rsidRDefault="00790A6E" w:rsidP="00BD7889">
      <w:pPr>
        <w:spacing w:after="80"/>
        <w:ind w:left="624"/>
        <w:jc w:val="both"/>
      </w:pPr>
    </w:p>
    <w:p w14:paraId="14D4419B" w14:textId="78B0C423" w:rsidR="00FB3427" w:rsidRPr="00465A21" w:rsidRDefault="00FB3427" w:rsidP="00790A6E">
      <w:pPr>
        <w:numPr>
          <w:ilvl w:val="0"/>
          <w:numId w:val="11"/>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790A6E">
      <w:pPr>
        <w:numPr>
          <w:ilvl w:val="0"/>
          <w:numId w:val="11"/>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790A6E">
      <w:pPr>
        <w:numPr>
          <w:ilvl w:val="0"/>
          <w:numId w:val="11"/>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2A106979" w:rsidR="00FB3427" w:rsidRPr="00FB3427" w:rsidRDefault="00FB3427" w:rsidP="00790A6E">
      <w:pPr>
        <w:numPr>
          <w:ilvl w:val="0"/>
          <w:numId w:val="13"/>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00F9762C">
        <w:rPr>
          <w:rFonts w:ascii="Arial" w:hAnsi="Arial" w:cs="Arial"/>
        </w:rPr>
        <w:t>, písm. a)</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3423D7A1" w:rsidR="00FB3427" w:rsidRPr="00FB3427" w:rsidRDefault="00FB3427" w:rsidP="005E1667">
      <w:pPr>
        <w:spacing w:after="8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r w:rsidRPr="00FB3427">
        <w:rPr>
          <w:rFonts w:ascii="Arial" w:hAnsi="Arial" w:cs="Arial"/>
        </w:rPr>
        <w:t>par</w:t>
      </w:r>
      <w:r w:rsidR="004A437F">
        <w:rPr>
          <w:rFonts w:ascii="Arial" w:hAnsi="Arial" w:cs="Arial"/>
        </w:rPr>
        <w:t>e</w:t>
      </w:r>
      <w:r w:rsidRPr="00FB3427">
        <w:rPr>
          <w:rFonts w:ascii="Arial" w:hAnsi="Arial" w:cs="Arial"/>
        </w:rPr>
        <w:t xml:space="preserve"> </w:t>
      </w:r>
      <w:r w:rsidR="00E058AA">
        <w:rPr>
          <w:rFonts w:ascii="Arial" w:hAnsi="Arial" w:cs="Arial"/>
        </w:rPr>
        <w:t>projektov</w:t>
      </w:r>
      <w:r w:rsidR="00554639">
        <w:rPr>
          <w:rFonts w:ascii="Arial" w:hAnsi="Arial" w:cs="Arial"/>
        </w:rPr>
        <w:t>é</w:t>
      </w:r>
      <w:r w:rsidRPr="00FB3427">
        <w:rPr>
          <w:rFonts w:ascii="Arial" w:hAnsi="Arial" w:cs="Arial"/>
        </w:rPr>
        <w:t xml:space="preserve">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8F3C26">
        <w:rPr>
          <w:rFonts w:ascii="Arial" w:hAnsi="Arial" w:cs="Arial"/>
        </w:rPr>
        <w:t>2</w:t>
      </w:r>
      <w:r w:rsidRPr="00FB3427">
        <w:rPr>
          <w:rFonts w:ascii="Arial" w:hAnsi="Arial" w:cs="Arial"/>
        </w:rPr>
        <w:t xml:space="preserve"> smlouvy</w:t>
      </w:r>
      <w:r w:rsidR="00100E61">
        <w:rPr>
          <w:rFonts w:ascii="Arial" w:hAnsi="Arial" w:cs="Arial"/>
        </w:rPr>
        <w:t>.</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90A6E">
      <w:pPr>
        <w:numPr>
          <w:ilvl w:val="0"/>
          <w:numId w:val="13"/>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161D934F" w14:textId="0509F6B2" w:rsidR="006C795F" w:rsidRPr="006C795F" w:rsidRDefault="00FB3427" w:rsidP="00790A6E">
      <w:pPr>
        <w:numPr>
          <w:ilvl w:val="0"/>
          <w:numId w:val="13"/>
        </w:numPr>
        <w:spacing w:after="80"/>
        <w:jc w:val="both"/>
        <w:rPr>
          <w:rFonts w:ascii="Arial" w:hAnsi="Arial" w:cs="Arial"/>
        </w:rPr>
      </w:pPr>
      <w:r w:rsidRPr="00C567BB">
        <w:rPr>
          <w:rFonts w:ascii="Arial" w:hAnsi="Arial" w:cs="Arial"/>
        </w:rPr>
        <w:lastRenderedPageBreak/>
        <w:t>Zhotovitel bude mít v průběhu realizace a dokončování předmětu díla na staveništi výhradní odpovědnost za:</w:t>
      </w:r>
    </w:p>
    <w:p w14:paraId="7A24C3B3" w14:textId="77777777" w:rsidR="00FB3427" w:rsidRPr="00C567BB" w:rsidRDefault="00FB3427" w:rsidP="00790A6E">
      <w:pPr>
        <w:pStyle w:val="Znaka"/>
        <w:widowControl/>
        <w:numPr>
          <w:ilvl w:val="0"/>
          <w:numId w:val="14"/>
        </w:numPr>
        <w:tabs>
          <w:tab w:val="clear" w:pos="1414"/>
          <w:tab w:val="num" w:pos="993"/>
        </w:tabs>
        <w:spacing w:after="80"/>
        <w:ind w:left="993" w:hanging="283"/>
        <w:contextualSpacing/>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90A6E">
      <w:pPr>
        <w:pStyle w:val="Znaka"/>
        <w:widowControl/>
        <w:numPr>
          <w:ilvl w:val="0"/>
          <w:numId w:val="14"/>
        </w:numPr>
        <w:tabs>
          <w:tab w:val="clear" w:pos="1414"/>
          <w:tab w:val="num" w:pos="993"/>
        </w:tabs>
        <w:spacing w:after="80"/>
        <w:ind w:left="993" w:hanging="283"/>
        <w:contextualSpacing/>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6A49B0E0" w:rsidR="00FB3427" w:rsidRDefault="00FB3427" w:rsidP="00F76654">
      <w:pPr>
        <w:pStyle w:val="Znaka"/>
        <w:widowControl/>
        <w:numPr>
          <w:ilvl w:val="0"/>
          <w:numId w:val="14"/>
        </w:numPr>
        <w:tabs>
          <w:tab w:val="clear" w:pos="1414"/>
          <w:tab w:val="num" w:pos="993"/>
        </w:tabs>
        <w:spacing w:after="80"/>
        <w:ind w:left="993" w:hanging="283"/>
        <w:contextualSpacing/>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81373A4" w14:textId="77777777" w:rsidR="006C795F" w:rsidRPr="00C567BB" w:rsidRDefault="006C795F" w:rsidP="006C795F">
      <w:pPr>
        <w:pStyle w:val="Znaka"/>
        <w:widowControl/>
        <w:tabs>
          <w:tab w:val="num" w:pos="993"/>
        </w:tabs>
        <w:spacing w:after="80"/>
        <w:ind w:left="993"/>
        <w:jc w:val="both"/>
        <w:rPr>
          <w:rFonts w:cs="Arial"/>
          <w:color w:val="auto"/>
          <w:sz w:val="20"/>
        </w:rPr>
      </w:pPr>
    </w:p>
    <w:p w14:paraId="15C2B2AF" w14:textId="01E13F6C" w:rsidR="00FB3427" w:rsidRPr="00C567BB" w:rsidRDefault="00FB3427" w:rsidP="00790A6E">
      <w:pPr>
        <w:numPr>
          <w:ilvl w:val="0"/>
          <w:numId w:val="13"/>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90A6E">
      <w:pPr>
        <w:numPr>
          <w:ilvl w:val="0"/>
          <w:numId w:val="13"/>
        </w:numPr>
        <w:spacing w:after="8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90A6E">
      <w:pPr>
        <w:numPr>
          <w:ilvl w:val="0"/>
          <w:numId w:val="13"/>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790A6E">
      <w:pPr>
        <w:numPr>
          <w:ilvl w:val="0"/>
          <w:numId w:val="13"/>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90A6E">
      <w:pPr>
        <w:numPr>
          <w:ilvl w:val="0"/>
          <w:numId w:val="15"/>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90A6E">
      <w:pPr>
        <w:numPr>
          <w:ilvl w:val="0"/>
          <w:numId w:val="15"/>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98A0B2E" w:rsidR="00D40853" w:rsidRPr="00FD1DEF" w:rsidRDefault="00D40853" w:rsidP="00790A6E">
      <w:pPr>
        <w:numPr>
          <w:ilvl w:val="0"/>
          <w:numId w:val="15"/>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 xml:space="preserve">v § </w:t>
      </w:r>
      <w:r w:rsidR="00845AF9">
        <w:rPr>
          <w:rFonts w:ascii="Arial" w:hAnsi="Arial" w:cs="Arial"/>
        </w:rPr>
        <w:t>153</w:t>
      </w:r>
      <w:r w:rsidR="00845AF9"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790A6E">
      <w:pPr>
        <w:numPr>
          <w:ilvl w:val="0"/>
          <w:numId w:val="15"/>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90A6E">
      <w:pPr>
        <w:numPr>
          <w:ilvl w:val="0"/>
          <w:numId w:val="15"/>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90A6E">
      <w:pPr>
        <w:pStyle w:val="Znaka"/>
        <w:widowControl/>
        <w:numPr>
          <w:ilvl w:val="0"/>
          <w:numId w:val="9"/>
        </w:numPr>
        <w:tabs>
          <w:tab w:val="clear" w:pos="1414"/>
          <w:tab w:val="num" w:pos="993"/>
        </w:tabs>
        <w:spacing w:after="80"/>
        <w:ind w:left="993" w:hanging="28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90A6E">
      <w:pPr>
        <w:pStyle w:val="Znaka"/>
        <w:widowControl/>
        <w:numPr>
          <w:ilvl w:val="0"/>
          <w:numId w:val="9"/>
        </w:numPr>
        <w:tabs>
          <w:tab w:val="clear" w:pos="1414"/>
          <w:tab w:val="num" w:pos="993"/>
        </w:tabs>
        <w:spacing w:after="80"/>
        <w:ind w:left="993" w:hanging="283"/>
        <w:jc w:val="both"/>
        <w:rPr>
          <w:rFonts w:cs="Arial"/>
          <w:color w:val="auto"/>
          <w:sz w:val="20"/>
        </w:rPr>
      </w:pPr>
      <w:r w:rsidRPr="00FB3427">
        <w:rPr>
          <w:rFonts w:cs="Arial"/>
          <w:color w:val="auto"/>
          <w:sz w:val="20"/>
        </w:rPr>
        <w:lastRenderedPageBreak/>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90A6E">
      <w:pPr>
        <w:pStyle w:val="Znaka"/>
        <w:widowControl/>
        <w:numPr>
          <w:ilvl w:val="0"/>
          <w:numId w:val="9"/>
        </w:numPr>
        <w:tabs>
          <w:tab w:val="clear" w:pos="1414"/>
          <w:tab w:val="num" w:pos="993"/>
        </w:tabs>
        <w:spacing w:after="80"/>
        <w:ind w:left="993" w:hanging="28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6776D1B0" w:rsidR="008453F5" w:rsidRDefault="008453F5" w:rsidP="00790A6E">
      <w:pPr>
        <w:pStyle w:val="Znaka"/>
        <w:widowControl/>
        <w:numPr>
          <w:ilvl w:val="0"/>
          <w:numId w:val="9"/>
        </w:numPr>
        <w:tabs>
          <w:tab w:val="clear" w:pos="1414"/>
          <w:tab w:val="num" w:pos="993"/>
        </w:tabs>
        <w:spacing w:after="80"/>
        <w:ind w:left="993" w:hanging="283"/>
        <w:jc w:val="both"/>
        <w:rPr>
          <w:rFonts w:cs="Arial"/>
          <w:color w:val="auto"/>
          <w:sz w:val="20"/>
        </w:rPr>
      </w:pPr>
      <w:r w:rsidRPr="00241125">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číslo autorizac</w:t>
      </w:r>
      <w:r w:rsidR="009038C3">
        <w:rPr>
          <w:rFonts w:cs="Arial"/>
          <w:color w:val="auto"/>
          <w:sz w:val="20"/>
        </w:rPr>
        <w:t xml:space="preserve">e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v seznamu osob ČKAIT veden pod čísle</w:t>
      </w:r>
      <w:r w:rsidR="009038C3">
        <w:rPr>
          <w:rFonts w:cs="Arial"/>
          <w:color w:val="auto"/>
          <w:sz w:val="20"/>
        </w:rPr>
        <w:t xml:space="preserve">m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Pr="00241125">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sidRPr="00241125">
        <w:rPr>
          <w:rFonts w:cs="Arial"/>
          <w:color w:val="auto"/>
          <w:sz w:val="20"/>
        </w:rPr>
        <w:t>, ve znění pozdějších předpisů</w:t>
      </w:r>
      <w:r w:rsidRPr="00241125">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C15AC8">
        <w:rPr>
          <w:rFonts w:cs="Arial"/>
          <w:color w:val="auto"/>
          <w:sz w:val="20"/>
        </w:rPr>
        <w:t>é</w:t>
      </w:r>
      <w:r w:rsidRPr="00241125">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BF6D0A" w:rsidRPr="00241125">
        <w:rPr>
          <w:rFonts w:cs="Arial"/>
          <w:color w:val="auto"/>
          <w:sz w:val="20"/>
        </w:rPr>
        <w:t>;</w:t>
      </w:r>
    </w:p>
    <w:p w14:paraId="69D61CD9" w14:textId="77777777" w:rsidR="00477E50" w:rsidRPr="00477E50" w:rsidRDefault="00477E50" w:rsidP="00477E50">
      <w:pPr>
        <w:pStyle w:val="Znaka"/>
        <w:numPr>
          <w:ilvl w:val="0"/>
          <w:numId w:val="9"/>
        </w:numPr>
        <w:tabs>
          <w:tab w:val="clear" w:pos="1414"/>
        </w:tabs>
        <w:spacing w:after="80"/>
        <w:ind w:left="993" w:hanging="284"/>
        <w:jc w:val="both"/>
        <w:rPr>
          <w:rFonts w:cs="Arial"/>
          <w:color w:val="auto"/>
          <w:sz w:val="20"/>
        </w:rPr>
      </w:pPr>
      <w:r w:rsidRPr="00477E50">
        <w:rPr>
          <w:rFonts w:cs="Arial"/>
          <w:color w:val="auto"/>
          <w:sz w:val="20"/>
        </w:rPr>
        <w:t>nesmí být ohrožena, ani omezena činnost ZZSKVK.</w:t>
      </w:r>
    </w:p>
    <w:p w14:paraId="561DAAF7" w14:textId="77777777" w:rsidR="00477E50" w:rsidRPr="00477E50" w:rsidRDefault="00477E50" w:rsidP="00477E50">
      <w:pPr>
        <w:pStyle w:val="Znaka"/>
        <w:numPr>
          <w:ilvl w:val="0"/>
          <w:numId w:val="9"/>
        </w:numPr>
        <w:tabs>
          <w:tab w:val="clear" w:pos="1414"/>
        </w:tabs>
        <w:spacing w:after="80"/>
        <w:ind w:left="993" w:hanging="284"/>
        <w:jc w:val="both"/>
        <w:rPr>
          <w:rFonts w:cs="Arial"/>
          <w:color w:val="auto"/>
          <w:sz w:val="20"/>
        </w:rPr>
      </w:pPr>
      <w:r w:rsidRPr="00477E50">
        <w:rPr>
          <w:rFonts w:cs="Arial"/>
          <w:color w:val="auto"/>
          <w:sz w:val="20"/>
        </w:rPr>
        <w:t>vždy musí být zachován výjezd a vjezd z výjezdových garáží.</w:t>
      </w:r>
    </w:p>
    <w:p w14:paraId="4B34A26B" w14:textId="77777777" w:rsidR="00477E50" w:rsidRPr="00477E50" w:rsidRDefault="00477E50" w:rsidP="00477E50">
      <w:pPr>
        <w:pStyle w:val="Znaka"/>
        <w:numPr>
          <w:ilvl w:val="0"/>
          <w:numId w:val="9"/>
        </w:numPr>
        <w:tabs>
          <w:tab w:val="clear" w:pos="1414"/>
        </w:tabs>
        <w:spacing w:after="80"/>
        <w:ind w:left="993" w:hanging="284"/>
        <w:jc w:val="both"/>
        <w:rPr>
          <w:rFonts w:cs="Arial"/>
          <w:color w:val="auto"/>
          <w:sz w:val="20"/>
        </w:rPr>
      </w:pPr>
      <w:r w:rsidRPr="00477E50">
        <w:rPr>
          <w:rFonts w:cs="Arial"/>
          <w:color w:val="auto"/>
          <w:sz w:val="20"/>
        </w:rPr>
        <w:t>vypnutí, nebo odstavení energií musí být projednáno s dostatečným předstihem.</w:t>
      </w:r>
    </w:p>
    <w:p w14:paraId="3D47B0CC" w14:textId="77777777" w:rsidR="00477E50" w:rsidRPr="00477E50" w:rsidRDefault="00477E50" w:rsidP="00477E50">
      <w:pPr>
        <w:pStyle w:val="Znaka"/>
        <w:numPr>
          <w:ilvl w:val="0"/>
          <w:numId w:val="9"/>
        </w:numPr>
        <w:tabs>
          <w:tab w:val="clear" w:pos="1414"/>
        </w:tabs>
        <w:spacing w:after="80"/>
        <w:ind w:left="993" w:hanging="284"/>
        <w:jc w:val="both"/>
        <w:rPr>
          <w:rFonts w:cs="Arial"/>
          <w:color w:val="auto"/>
          <w:sz w:val="20"/>
        </w:rPr>
      </w:pPr>
      <w:r w:rsidRPr="00477E50">
        <w:rPr>
          <w:rFonts w:cs="Arial"/>
          <w:color w:val="auto"/>
          <w:sz w:val="20"/>
        </w:rPr>
        <w:t>úklid příjezdové komunikace. Základna je brána jako zdravotnické zařízení a musí se pravidelně čistit garáže.</w:t>
      </w:r>
    </w:p>
    <w:p w14:paraId="54572893" w14:textId="77777777" w:rsidR="00477E50" w:rsidRPr="00241125" w:rsidRDefault="00477E50" w:rsidP="00477E50">
      <w:pPr>
        <w:pStyle w:val="Znaka"/>
        <w:widowControl/>
        <w:spacing w:after="80"/>
        <w:ind w:left="993"/>
        <w:jc w:val="both"/>
        <w:rPr>
          <w:rFonts w:cs="Arial"/>
          <w:color w:val="auto"/>
          <w:sz w:val="20"/>
        </w:rPr>
      </w:pPr>
    </w:p>
    <w:p w14:paraId="793FF836" w14:textId="006DFA8D" w:rsidR="00D40853" w:rsidRDefault="00D40853" w:rsidP="00790A6E">
      <w:pPr>
        <w:numPr>
          <w:ilvl w:val="0"/>
          <w:numId w:val="15"/>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16319A90" w14:textId="0B9245E8" w:rsidR="00845AF9" w:rsidRPr="00845AF9" w:rsidRDefault="00845AF9" w:rsidP="00790A6E">
      <w:pPr>
        <w:numPr>
          <w:ilvl w:val="0"/>
          <w:numId w:val="15"/>
        </w:numPr>
        <w:spacing w:after="120"/>
        <w:jc w:val="both"/>
        <w:rPr>
          <w:rFonts w:ascii="Arial" w:hAnsi="Arial" w:cs="Arial"/>
        </w:rPr>
      </w:pPr>
      <w:r w:rsidRPr="00FD1DEF">
        <w:rPr>
          <w:rFonts w:ascii="Arial" w:hAnsi="Arial" w:cs="Arial"/>
        </w:rPr>
        <w:t>Zhotovitel je povinen v průběhu realizace díla zanést do projektové dokumentace veškeré odchylky a úpravy od navrženého technického řešení díla</w:t>
      </w:r>
      <w:r>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Pr>
          <w:rFonts w:ascii="Arial" w:hAnsi="Arial" w:cs="Arial"/>
        </w:rPr>
        <w:t>IX</w:t>
      </w:r>
      <w:r w:rsidRPr="005A022F">
        <w:rPr>
          <w:rFonts w:ascii="Arial" w:hAnsi="Arial" w:cs="Arial"/>
        </w:rPr>
        <w:t xml:space="preserve">. odst. </w:t>
      </w:r>
      <w:r>
        <w:rPr>
          <w:rFonts w:ascii="Arial" w:hAnsi="Arial" w:cs="Arial"/>
        </w:rPr>
        <w:t>9.5</w:t>
      </w:r>
      <w:r w:rsidRPr="005A022F">
        <w:rPr>
          <w:rFonts w:ascii="Arial" w:hAnsi="Arial" w:cs="Arial"/>
        </w:rPr>
        <w:t xml:space="preserve"> písm. d) smlouvy</w:t>
      </w:r>
      <w:r>
        <w:rPr>
          <w:rFonts w:ascii="Arial" w:hAnsi="Arial" w:cs="Arial"/>
        </w:rPr>
        <w:t xml:space="preserve"> </w:t>
      </w:r>
      <w:r w:rsidRPr="00FD1DEF">
        <w:rPr>
          <w:rFonts w:ascii="Arial" w:hAnsi="Arial" w:cs="Arial"/>
        </w:rPr>
        <w:t xml:space="preserve">a datem. </w:t>
      </w:r>
    </w:p>
    <w:p w14:paraId="75FCB2DB" w14:textId="066627F8" w:rsidR="00D40853" w:rsidRPr="002B5772" w:rsidRDefault="00D40853" w:rsidP="00790A6E">
      <w:pPr>
        <w:numPr>
          <w:ilvl w:val="0"/>
          <w:numId w:val="15"/>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90A6E">
      <w:pPr>
        <w:numPr>
          <w:ilvl w:val="0"/>
          <w:numId w:val="15"/>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1487EFE7" w:rsidR="000035B0" w:rsidRDefault="00D40853" w:rsidP="00790A6E">
      <w:pPr>
        <w:numPr>
          <w:ilvl w:val="0"/>
          <w:numId w:val="15"/>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3E0B285E" w14:textId="4AD4219D" w:rsidR="00845AF9" w:rsidRPr="00845AF9" w:rsidRDefault="00845AF9" w:rsidP="00790A6E">
      <w:pPr>
        <w:numPr>
          <w:ilvl w:val="0"/>
          <w:numId w:val="15"/>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w:t>
      </w:r>
      <w:r>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3CDFCD91" w:rsidR="00A2701F" w:rsidRDefault="00A2701F" w:rsidP="00790A6E">
      <w:pPr>
        <w:numPr>
          <w:ilvl w:val="0"/>
          <w:numId w:val="15"/>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790A6E">
      <w:pPr>
        <w:pStyle w:val="BodyText21"/>
        <w:widowControl/>
        <w:numPr>
          <w:ilvl w:val="0"/>
          <w:numId w:val="12"/>
        </w:numPr>
        <w:spacing w:before="360" w:after="120" w:line="276" w:lineRule="auto"/>
        <w:ind w:left="1077"/>
        <w:jc w:val="center"/>
        <w:rPr>
          <w:rFonts w:ascii="Arial" w:hAnsi="Arial" w:cs="Arial"/>
          <w:b/>
          <w:sz w:val="20"/>
        </w:rPr>
      </w:pPr>
      <w:r w:rsidRPr="001549AE">
        <w:rPr>
          <w:rFonts w:ascii="Arial" w:hAnsi="Arial" w:cs="Arial"/>
          <w:b/>
          <w:sz w:val="20"/>
        </w:rPr>
        <w:lastRenderedPageBreak/>
        <w:t>Předání a převzetí díla</w:t>
      </w:r>
    </w:p>
    <w:p w14:paraId="3351A627" w14:textId="52CDF1DF" w:rsidR="001549AE" w:rsidRPr="00BB593D" w:rsidRDefault="001549AE" w:rsidP="00790A6E">
      <w:pPr>
        <w:numPr>
          <w:ilvl w:val="0"/>
          <w:numId w:val="16"/>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90A6E">
      <w:pPr>
        <w:numPr>
          <w:ilvl w:val="0"/>
          <w:numId w:val="16"/>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18180128" w:rsidR="001549AE" w:rsidRPr="00F6502E" w:rsidRDefault="001549AE" w:rsidP="00790A6E">
      <w:pPr>
        <w:numPr>
          <w:ilvl w:val="0"/>
          <w:numId w:val="16"/>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790A6E">
      <w:pPr>
        <w:numPr>
          <w:ilvl w:val="0"/>
          <w:numId w:val="16"/>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90A6E">
      <w:pPr>
        <w:numPr>
          <w:ilvl w:val="0"/>
          <w:numId w:val="16"/>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90A6E">
      <w:pPr>
        <w:numPr>
          <w:ilvl w:val="0"/>
          <w:numId w:val="16"/>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90A6E">
      <w:pPr>
        <w:numPr>
          <w:ilvl w:val="0"/>
          <w:numId w:val="16"/>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790A6E">
      <w:pPr>
        <w:numPr>
          <w:ilvl w:val="0"/>
          <w:numId w:val="16"/>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790A6E">
      <w:pPr>
        <w:numPr>
          <w:ilvl w:val="0"/>
          <w:numId w:val="16"/>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790A6E">
      <w:pPr>
        <w:pStyle w:val="BodyText21"/>
        <w:widowControl/>
        <w:numPr>
          <w:ilvl w:val="0"/>
          <w:numId w:val="12"/>
        </w:numPr>
        <w:spacing w:before="360" w:after="120" w:line="276" w:lineRule="auto"/>
        <w:ind w:left="1077"/>
        <w:jc w:val="center"/>
        <w:rPr>
          <w:rFonts w:ascii="Arial" w:hAnsi="Arial" w:cs="Arial"/>
          <w:b/>
          <w:sz w:val="20"/>
        </w:rPr>
      </w:pPr>
      <w:r w:rsidRPr="001F0CD4">
        <w:rPr>
          <w:rFonts w:ascii="Arial" w:hAnsi="Arial" w:cs="Arial"/>
          <w:b/>
          <w:sz w:val="20"/>
        </w:rPr>
        <w:lastRenderedPageBreak/>
        <w:t>Záruka za jakost</w:t>
      </w:r>
    </w:p>
    <w:p w14:paraId="146E2926" w14:textId="7879A453" w:rsidR="001F0CD4" w:rsidRPr="001F0CD4" w:rsidRDefault="001F0CD4" w:rsidP="00790A6E">
      <w:pPr>
        <w:numPr>
          <w:ilvl w:val="0"/>
          <w:numId w:val="17"/>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790A6E">
      <w:pPr>
        <w:numPr>
          <w:ilvl w:val="0"/>
          <w:numId w:val="17"/>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790A6E">
      <w:pPr>
        <w:numPr>
          <w:ilvl w:val="0"/>
          <w:numId w:val="17"/>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790A6E">
      <w:pPr>
        <w:pStyle w:val="Znaka"/>
        <w:widowControl/>
        <w:numPr>
          <w:ilvl w:val="0"/>
          <w:numId w:val="29"/>
        </w:numPr>
        <w:tabs>
          <w:tab w:val="clear" w:pos="1414"/>
          <w:tab w:val="num" w:pos="993"/>
        </w:tabs>
        <w:spacing w:after="80"/>
        <w:ind w:left="993" w:hanging="283"/>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90A6E">
      <w:pPr>
        <w:pStyle w:val="Znaka"/>
        <w:widowControl/>
        <w:numPr>
          <w:ilvl w:val="0"/>
          <w:numId w:val="29"/>
        </w:numPr>
        <w:tabs>
          <w:tab w:val="clear" w:pos="1414"/>
          <w:tab w:val="num" w:pos="993"/>
        </w:tabs>
        <w:spacing w:after="80"/>
        <w:ind w:left="993" w:hanging="28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90A6E">
      <w:pPr>
        <w:pStyle w:val="Znaka"/>
        <w:widowControl/>
        <w:numPr>
          <w:ilvl w:val="0"/>
          <w:numId w:val="29"/>
        </w:numPr>
        <w:tabs>
          <w:tab w:val="clear" w:pos="1414"/>
          <w:tab w:val="num" w:pos="993"/>
        </w:tabs>
        <w:spacing w:after="80"/>
        <w:ind w:left="993" w:hanging="283"/>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790A6E">
      <w:pPr>
        <w:numPr>
          <w:ilvl w:val="0"/>
          <w:numId w:val="17"/>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90A6E">
      <w:pPr>
        <w:numPr>
          <w:ilvl w:val="0"/>
          <w:numId w:val="17"/>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90A6E">
      <w:pPr>
        <w:numPr>
          <w:ilvl w:val="0"/>
          <w:numId w:val="17"/>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90A6E">
      <w:pPr>
        <w:numPr>
          <w:ilvl w:val="0"/>
          <w:numId w:val="17"/>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790A6E">
      <w:pPr>
        <w:numPr>
          <w:ilvl w:val="0"/>
          <w:numId w:val="17"/>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644D7309" w:rsidR="001F0CD4" w:rsidRPr="00D36156" w:rsidRDefault="001F0CD4" w:rsidP="00790A6E">
      <w:pPr>
        <w:numPr>
          <w:ilvl w:val="0"/>
          <w:numId w:val="17"/>
        </w:numPr>
        <w:spacing w:after="80"/>
        <w:jc w:val="both"/>
        <w:rPr>
          <w:rFonts w:ascii="Arial" w:hAnsi="Arial" w:cs="Arial"/>
        </w:rPr>
      </w:pPr>
      <w:r w:rsidRPr="00D36156">
        <w:rPr>
          <w:rFonts w:ascii="Arial" w:hAnsi="Arial" w:cs="Arial"/>
        </w:rPr>
        <w:t xml:space="preserve">Práva a povinnosti </w:t>
      </w:r>
      <w:r w:rsidR="00AB7192">
        <w:rPr>
          <w:rFonts w:ascii="Arial" w:hAnsi="Arial" w:cs="Arial"/>
        </w:rPr>
        <w:t>s</w:t>
      </w:r>
      <w:r w:rsidRPr="00D36156">
        <w:rPr>
          <w:rFonts w:ascii="Arial" w:hAnsi="Arial" w:cs="Arial"/>
        </w:rPr>
        <w:t>e zhotovitelem poskytnuté záruky nezanikají na předané části díla ani odstoupením kterékoli ze smluvních stran od smlouvy.</w:t>
      </w:r>
    </w:p>
    <w:p w14:paraId="789D4E97" w14:textId="2F0CB2F2" w:rsidR="001F0CD4" w:rsidRPr="00D36156" w:rsidRDefault="001F0CD4" w:rsidP="00790A6E">
      <w:pPr>
        <w:numPr>
          <w:ilvl w:val="0"/>
          <w:numId w:val="17"/>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3A88EDE2" w:rsidR="001F0CD4" w:rsidRDefault="001F0CD4" w:rsidP="00790A6E">
      <w:pPr>
        <w:numPr>
          <w:ilvl w:val="0"/>
          <w:numId w:val="17"/>
        </w:numPr>
        <w:spacing w:after="80"/>
        <w:jc w:val="both"/>
        <w:rPr>
          <w:rFonts w:ascii="Arial" w:hAnsi="Arial" w:cs="Arial"/>
        </w:rPr>
      </w:pPr>
      <w:r w:rsidRPr="00D36156">
        <w:rPr>
          <w:rFonts w:ascii="Arial" w:hAnsi="Arial" w:cs="Arial"/>
        </w:rPr>
        <w:t>O reklamačním řízení budou objednatelem pořizovány písemné zápisy ve dvojím vyhotovení, z nichž jeden stejnopis obdrží každá ze smluvních stran.</w:t>
      </w:r>
    </w:p>
    <w:p w14:paraId="4B978AA9" w14:textId="77777777" w:rsidR="00FE3D9F" w:rsidRPr="00D36156" w:rsidRDefault="00FE3D9F" w:rsidP="00FE3D9F">
      <w:pPr>
        <w:spacing w:after="80"/>
        <w:ind w:left="624"/>
        <w:jc w:val="both"/>
        <w:rPr>
          <w:rFonts w:ascii="Arial" w:hAnsi="Arial" w:cs="Arial"/>
        </w:rPr>
      </w:pPr>
    </w:p>
    <w:p w14:paraId="2D0750F1" w14:textId="558FF625" w:rsidR="00D36156" w:rsidRPr="00D36156" w:rsidRDefault="00D36156" w:rsidP="00790A6E">
      <w:pPr>
        <w:pStyle w:val="BodyText21"/>
        <w:widowControl/>
        <w:numPr>
          <w:ilvl w:val="0"/>
          <w:numId w:val="12"/>
        </w:numPr>
        <w:spacing w:before="360" w:after="120" w:line="276" w:lineRule="auto"/>
        <w:ind w:left="1077"/>
        <w:jc w:val="center"/>
        <w:rPr>
          <w:rFonts w:ascii="Arial" w:hAnsi="Arial" w:cs="Arial"/>
          <w:b/>
          <w:sz w:val="20"/>
        </w:rPr>
      </w:pPr>
      <w:r w:rsidRPr="00D36156">
        <w:rPr>
          <w:rFonts w:ascii="Arial" w:hAnsi="Arial" w:cs="Arial"/>
          <w:b/>
          <w:sz w:val="20"/>
        </w:rPr>
        <w:lastRenderedPageBreak/>
        <w:t>Smluvní pokuta a úrok z prodlení</w:t>
      </w:r>
    </w:p>
    <w:p w14:paraId="69F2DF5F" w14:textId="077CD003" w:rsidR="00D36156" w:rsidRPr="00D36156" w:rsidRDefault="00D36156" w:rsidP="00790A6E">
      <w:pPr>
        <w:numPr>
          <w:ilvl w:val="0"/>
          <w:numId w:val="18"/>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845AF9">
        <w:rPr>
          <w:rFonts w:ascii="Arial" w:hAnsi="Arial" w:cs="Arial"/>
        </w:rPr>
        <w:t>pět setin</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AECB16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845AF9">
        <w:rPr>
          <w:rFonts w:ascii="Arial" w:hAnsi="Arial" w:cs="Arial"/>
        </w:rPr>
        <w:t xml:space="preserve">pět setin </w:t>
      </w:r>
      <w:r w:rsidRPr="00D36156">
        <w:rPr>
          <w:rFonts w:ascii="Arial" w:hAnsi="Arial" w:cs="Arial"/>
        </w:rPr>
        <w:t xml:space="preserve">procenta) z ceny za každý den prodlení, uplatnit vůči zhotoviteli jednorázovou smluvní pokutu za první den prodlení ve výši </w:t>
      </w:r>
      <w:r w:rsidR="00845AF9">
        <w:rPr>
          <w:rFonts w:ascii="Arial" w:hAnsi="Arial" w:cs="Arial"/>
        </w:rPr>
        <w:t>0,5</w:t>
      </w:r>
      <w:r w:rsidR="00845AF9" w:rsidRPr="00D36156">
        <w:rPr>
          <w:rFonts w:ascii="Arial" w:hAnsi="Arial" w:cs="Arial"/>
        </w:rPr>
        <w:t xml:space="preserve"> </w:t>
      </w:r>
      <w:r w:rsidRPr="00D36156">
        <w:rPr>
          <w:rFonts w:ascii="Arial" w:hAnsi="Arial" w:cs="Arial"/>
        </w:rPr>
        <w:t xml:space="preserve">% (slovy: </w:t>
      </w:r>
      <w:r w:rsidR="00534DDB">
        <w:rPr>
          <w:rFonts w:ascii="Arial" w:hAnsi="Arial" w:cs="Arial"/>
        </w:rPr>
        <w:t>pět desetin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37583401" w:rsidR="00D36156" w:rsidRPr="00D36156" w:rsidRDefault="00D36156" w:rsidP="00790A6E">
      <w:pPr>
        <w:numPr>
          <w:ilvl w:val="0"/>
          <w:numId w:val="18"/>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534DDB">
        <w:rPr>
          <w:rFonts w:ascii="Arial" w:hAnsi="Arial" w:cs="Arial"/>
        </w:rPr>
        <w:t>, 9.8, 9.10, 9.11</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534DDB">
        <w:rPr>
          <w:rFonts w:ascii="Arial" w:hAnsi="Arial" w:cs="Arial"/>
        </w:rPr>
        <w:t>1</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534DDB">
        <w:rPr>
          <w:rFonts w:ascii="Arial" w:hAnsi="Arial" w:cs="Arial"/>
        </w:rPr>
        <w:t xml:space="preserve">jeden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790A6E">
      <w:pPr>
        <w:numPr>
          <w:ilvl w:val="0"/>
          <w:numId w:val="18"/>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3CDCA045" w:rsidR="00D36156" w:rsidRPr="004513B9" w:rsidRDefault="00D36156" w:rsidP="00790A6E">
      <w:pPr>
        <w:numPr>
          <w:ilvl w:val="0"/>
          <w:numId w:val="18"/>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534DDB">
        <w:rPr>
          <w:rFonts w:ascii="Arial" w:hAnsi="Arial" w:cs="Arial"/>
        </w:rPr>
        <w:t>5</w:t>
      </w:r>
      <w:r w:rsidR="00221F1E">
        <w:rPr>
          <w:rFonts w:ascii="Arial" w:hAnsi="Arial" w:cs="Arial"/>
        </w:rPr>
        <w:t>00</w:t>
      </w:r>
      <w:r w:rsidRPr="00D36156">
        <w:rPr>
          <w:rFonts w:ascii="Arial" w:hAnsi="Arial" w:cs="Arial"/>
        </w:rPr>
        <w:t xml:space="preserve"> Kč (slovy: </w:t>
      </w:r>
      <w:r w:rsidR="00534DDB">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790A6E">
      <w:pPr>
        <w:numPr>
          <w:ilvl w:val="0"/>
          <w:numId w:val="18"/>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68C88072" w:rsidR="001F0CD4" w:rsidRDefault="00D36156" w:rsidP="00790A6E">
      <w:pPr>
        <w:numPr>
          <w:ilvl w:val="0"/>
          <w:numId w:val="18"/>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5C3DB1A" w14:textId="77777777" w:rsidR="00A0308B" w:rsidRPr="00F079A8" w:rsidRDefault="00A0308B" w:rsidP="00A0308B">
      <w:pPr>
        <w:pStyle w:val="Odstavecseseznamem"/>
        <w:numPr>
          <w:ilvl w:val="0"/>
          <w:numId w:val="18"/>
        </w:numPr>
        <w:jc w:val="both"/>
        <w:rPr>
          <w:rFonts w:ascii="Arial" w:hAnsi="Arial" w:cs="Arial"/>
        </w:rPr>
      </w:pPr>
      <w:r w:rsidRPr="00F079A8">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6EF485F4" w14:textId="77777777" w:rsidR="00A0308B" w:rsidRDefault="00A0308B" w:rsidP="00A0308B">
      <w:pPr>
        <w:spacing w:after="80"/>
        <w:ind w:left="624"/>
        <w:jc w:val="both"/>
        <w:rPr>
          <w:rFonts w:ascii="Arial" w:hAnsi="Arial" w:cs="Arial"/>
        </w:rPr>
      </w:pPr>
    </w:p>
    <w:p w14:paraId="32FE60CD" w14:textId="135DE88A" w:rsidR="008602FF" w:rsidRPr="008602FF" w:rsidRDefault="008602FF" w:rsidP="00790A6E">
      <w:pPr>
        <w:pStyle w:val="BodyText21"/>
        <w:widowControl/>
        <w:numPr>
          <w:ilvl w:val="0"/>
          <w:numId w:val="12"/>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90A6E">
      <w:pPr>
        <w:numPr>
          <w:ilvl w:val="0"/>
          <w:numId w:val="19"/>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90A6E">
      <w:pPr>
        <w:numPr>
          <w:ilvl w:val="0"/>
          <w:numId w:val="19"/>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BF0CA29"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534DDB">
        <w:rPr>
          <w:rFonts w:cs="Arial"/>
          <w:color w:val="auto"/>
          <w:sz w:val="20"/>
        </w:rPr>
        <w:t>5</w:t>
      </w:r>
      <w:r w:rsidR="00534DDB"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lastRenderedPageBreak/>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zhotovitel vstoupil do likvidace;</w:t>
      </w:r>
    </w:p>
    <w:p w14:paraId="42F7C780" w14:textId="111735FD" w:rsidR="008602FF"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790A6E">
      <w:pPr>
        <w:pStyle w:val="Znaka"/>
        <w:widowControl/>
        <w:numPr>
          <w:ilvl w:val="0"/>
          <w:numId w:val="20"/>
        </w:numPr>
        <w:tabs>
          <w:tab w:val="clear" w:pos="1414"/>
          <w:tab w:val="num" w:pos="993"/>
        </w:tabs>
        <w:spacing w:after="80"/>
        <w:ind w:left="993" w:hanging="283"/>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041B172D" w:rsidR="008602FF" w:rsidRPr="00B16342" w:rsidRDefault="008602FF" w:rsidP="00790A6E">
      <w:pPr>
        <w:pStyle w:val="Znaka"/>
        <w:widowControl/>
        <w:numPr>
          <w:ilvl w:val="0"/>
          <w:numId w:val="20"/>
        </w:numPr>
        <w:tabs>
          <w:tab w:val="clear" w:pos="1414"/>
          <w:tab w:val="num" w:pos="993"/>
        </w:tabs>
        <w:spacing w:after="80"/>
        <w:ind w:left="993" w:hanging="283"/>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534DDB">
        <w:rPr>
          <w:rFonts w:cs="Arial"/>
          <w:color w:val="auto"/>
          <w:sz w:val="20"/>
        </w:rPr>
        <w:t>30</w:t>
      </w:r>
      <w:r w:rsidR="00534DD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790A6E">
      <w:pPr>
        <w:numPr>
          <w:ilvl w:val="0"/>
          <w:numId w:val="19"/>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790A6E">
      <w:pPr>
        <w:pStyle w:val="Znaka"/>
        <w:widowControl/>
        <w:numPr>
          <w:ilvl w:val="0"/>
          <w:numId w:val="30"/>
        </w:numPr>
        <w:tabs>
          <w:tab w:val="clear" w:pos="1414"/>
          <w:tab w:val="num" w:pos="993"/>
        </w:tabs>
        <w:spacing w:after="80"/>
        <w:ind w:left="993" w:hanging="283"/>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790A6E">
      <w:pPr>
        <w:pStyle w:val="Znaka"/>
        <w:widowControl/>
        <w:numPr>
          <w:ilvl w:val="0"/>
          <w:numId w:val="30"/>
        </w:numPr>
        <w:tabs>
          <w:tab w:val="clear" w:pos="1414"/>
          <w:tab w:val="num" w:pos="993"/>
        </w:tabs>
        <w:spacing w:after="80"/>
        <w:ind w:left="993" w:hanging="283"/>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790A6E">
      <w:pPr>
        <w:pStyle w:val="Znaka"/>
        <w:widowControl/>
        <w:numPr>
          <w:ilvl w:val="0"/>
          <w:numId w:val="30"/>
        </w:numPr>
        <w:tabs>
          <w:tab w:val="clear" w:pos="1414"/>
          <w:tab w:val="num" w:pos="993"/>
        </w:tabs>
        <w:spacing w:after="80"/>
        <w:ind w:left="993" w:hanging="283"/>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790A6E">
      <w:pPr>
        <w:pStyle w:val="Znaka"/>
        <w:widowControl/>
        <w:numPr>
          <w:ilvl w:val="0"/>
          <w:numId w:val="30"/>
        </w:numPr>
        <w:tabs>
          <w:tab w:val="clear" w:pos="1414"/>
          <w:tab w:val="num" w:pos="993"/>
        </w:tabs>
        <w:spacing w:after="80"/>
        <w:ind w:left="993" w:hanging="283"/>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790A6E">
      <w:pPr>
        <w:numPr>
          <w:ilvl w:val="0"/>
          <w:numId w:val="19"/>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790A6E">
      <w:pPr>
        <w:pStyle w:val="BodyText21"/>
        <w:widowControl/>
        <w:numPr>
          <w:ilvl w:val="0"/>
          <w:numId w:val="12"/>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90A6E">
      <w:pPr>
        <w:numPr>
          <w:ilvl w:val="0"/>
          <w:numId w:val="21"/>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300E8815" w14:textId="6A4CB9F1" w:rsidR="002A7280" w:rsidRDefault="00D0069E" w:rsidP="00790A6E">
      <w:pPr>
        <w:pStyle w:val="Znaka"/>
        <w:widowControl/>
        <w:numPr>
          <w:ilvl w:val="0"/>
          <w:numId w:val="22"/>
        </w:numPr>
        <w:tabs>
          <w:tab w:val="clear" w:pos="1414"/>
          <w:tab w:val="num" w:pos="1134"/>
        </w:tabs>
        <w:spacing w:after="80"/>
        <w:ind w:left="1134" w:hanging="283"/>
        <w:jc w:val="both"/>
        <w:rPr>
          <w:rFonts w:cs="Arial"/>
          <w:color w:val="auto"/>
          <w:sz w:val="20"/>
        </w:rPr>
      </w:pPr>
      <w:r w:rsidRPr="002A7280">
        <w:rPr>
          <w:rFonts w:cs="Arial"/>
          <w:color w:val="auto"/>
          <w:sz w:val="20"/>
        </w:rPr>
        <w:t>adresa pro doručování objednatele:</w:t>
      </w:r>
    </w:p>
    <w:p w14:paraId="1C86353C" w14:textId="400B0CFE" w:rsidR="004F243B" w:rsidRDefault="004F243B" w:rsidP="004F243B">
      <w:pPr>
        <w:pStyle w:val="Znaka"/>
        <w:tabs>
          <w:tab w:val="num" w:pos="1134"/>
        </w:tabs>
        <w:spacing w:after="80"/>
        <w:ind w:left="1134"/>
        <w:jc w:val="both"/>
        <w:rPr>
          <w:rFonts w:cs="Arial"/>
          <w:color w:val="auto"/>
          <w:sz w:val="20"/>
        </w:rPr>
      </w:pPr>
      <w:r w:rsidRPr="004F243B">
        <w:rPr>
          <w:rFonts w:cs="Arial"/>
          <w:color w:val="auto"/>
          <w:sz w:val="20"/>
        </w:rPr>
        <w:t>Karlovarský kraj</w:t>
      </w:r>
      <w:r>
        <w:rPr>
          <w:rFonts w:cs="Arial"/>
          <w:color w:val="auto"/>
          <w:sz w:val="20"/>
        </w:rPr>
        <w:t xml:space="preserve">, </w:t>
      </w:r>
      <w:r w:rsidRPr="004F243B">
        <w:rPr>
          <w:rFonts w:cs="Arial"/>
          <w:color w:val="auto"/>
          <w:sz w:val="20"/>
        </w:rPr>
        <w:t>Závodní 353/88, 360 06 Karlovy Vary</w:t>
      </w:r>
    </w:p>
    <w:p w14:paraId="5EE30635" w14:textId="77777777" w:rsidR="002A7280" w:rsidRDefault="00D0069E" w:rsidP="00790A6E">
      <w:pPr>
        <w:pStyle w:val="Znaka"/>
        <w:widowControl/>
        <w:numPr>
          <w:ilvl w:val="0"/>
          <w:numId w:val="22"/>
        </w:numPr>
        <w:tabs>
          <w:tab w:val="clear" w:pos="1414"/>
          <w:tab w:val="num" w:pos="1134"/>
        </w:tabs>
        <w:spacing w:after="80"/>
        <w:ind w:left="1134" w:hanging="283"/>
        <w:jc w:val="both"/>
        <w:rPr>
          <w:rFonts w:cs="Arial"/>
          <w:color w:val="auto"/>
          <w:sz w:val="20"/>
        </w:rPr>
      </w:pPr>
      <w:r w:rsidRPr="007478AB">
        <w:rPr>
          <w:rFonts w:cs="Arial"/>
          <w:color w:val="auto"/>
          <w:sz w:val="20"/>
        </w:rPr>
        <w:t xml:space="preserve">adresa pro doručování zhotovitele: </w:t>
      </w:r>
    </w:p>
    <w:p w14:paraId="7263455A" w14:textId="40357C01" w:rsidR="00D0069E" w:rsidRPr="007478AB" w:rsidRDefault="00E06D8D" w:rsidP="007D61E4">
      <w:pPr>
        <w:pStyle w:val="Znaka"/>
        <w:widowControl/>
        <w:spacing w:after="80"/>
        <w:ind w:left="1134" w:hanging="283"/>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ADB205C" w14:textId="47CC9E87" w:rsidR="00D0069E" w:rsidRPr="00D0069E" w:rsidRDefault="00D0069E" w:rsidP="00790A6E">
      <w:pPr>
        <w:numPr>
          <w:ilvl w:val="0"/>
          <w:numId w:val="21"/>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90A6E">
      <w:pPr>
        <w:numPr>
          <w:ilvl w:val="0"/>
          <w:numId w:val="21"/>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90A6E">
      <w:pPr>
        <w:numPr>
          <w:ilvl w:val="0"/>
          <w:numId w:val="21"/>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790A6E">
      <w:pPr>
        <w:pStyle w:val="Znaka"/>
        <w:widowControl/>
        <w:numPr>
          <w:ilvl w:val="0"/>
          <w:numId w:val="31"/>
        </w:numPr>
        <w:tabs>
          <w:tab w:val="clear" w:pos="1414"/>
        </w:tabs>
        <w:spacing w:after="80"/>
        <w:ind w:left="993" w:hanging="283"/>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790A6E">
      <w:pPr>
        <w:pStyle w:val="Znaka"/>
        <w:widowControl/>
        <w:numPr>
          <w:ilvl w:val="0"/>
          <w:numId w:val="36"/>
        </w:numPr>
        <w:spacing w:after="80"/>
        <w:ind w:left="1134" w:hanging="283"/>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790A6E">
      <w:pPr>
        <w:pStyle w:val="Znaka"/>
        <w:widowControl/>
        <w:numPr>
          <w:ilvl w:val="0"/>
          <w:numId w:val="36"/>
        </w:numPr>
        <w:spacing w:after="80"/>
        <w:ind w:left="1134" w:hanging="283"/>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790A6E">
      <w:pPr>
        <w:pStyle w:val="Znaka"/>
        <w:widowControl/>
        <w:numPr>
          <w:ilvl w:val="0"/>
          <w:numId w:val="36"/>
        </w:numPr>
        <w:spacing w:after="80"/>
        <w:ind w:left="1134" w:hanging="283"/>
        <w:jc w:val="both"/>
        <w:rPr>
          <w:rFonts w:cs="Arial"/>
          <w:color w:val="auto"/>
          <w:sz w:val="20"/>
        </w:rPr>
      </w:pPr>
      <w:r w:rsidRPr="00E06D8D">
        <w:rPr>
          <w:rFonts w:cs="Arial"/>
          <w:color w:val="auto"/>
          <w:sz w:val="20"/>
        </w:rPr>
        <w:lastRenderedPageBreak/>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790A6E">
      <w:pPr>
        <w:pStyle w:val="Znaka"/>
        <w:widowControl/>
        <w:numPr>
          <w:ilvl w:val="0"/>
          <w:numId w:val="36"/>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790A6E">
      <w:pPr>
        <w:pStyle w:val="Znaka"/>
        <w:widowControl/>
        <w:numPr>
          <w:ilvl w:val="0"/>
          <w:numId w:val="31"/>
        </w:numPr>
        <w:tabs>
          <w:tab w:val="clear" w:pos="1414"/>
        </w:tabs>
        <w:spacing w:before="120" w:after="80"/>
        <w:ind w:left="993" w:hanging="283"/>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790A6E">
      <w:pPr>
        <w:pStyle w:val="Znaka"/>
        <w:widowControl/>
        <w:numPr>
          <w:ilvl w:val="0"/>
          <w:numId w:val="36"/>
        </w:numPr>
        <w:spacing w:after="80"/>
        <w:ind w:left="1134" w:hanging="283"/>
        <w:jc w:val="both"/>
        <w:rPr>
          <w:rFonts w:cs="Arial"/>
          <w:color w:val="auto"/>
          <w:sz w:val="20"/>
        </w:rPr>
      </w:pPr>
      <w:r w:rsidRPr="00E06D8D">
        <w:rPr>
          <w:rFonts w:cs="Arial"/>
          <w:color w:val="auto"/>
          <w:sz w:val="20"/>
        </w:rPr>
        <w:t xml:space="preserve">dnem předání listovní zásilky příjemci; </w:t>
      </w:r>
    </w:p>
    <w:p w14:paraId="4AF46AE2" w14:textId="10F682E6" w:rsidR="00BD7889" w:rsidRPr="002752E5" w:rsidRDefault="00D0069E" w:rsidP="002752E5">
      <w:pPr>
        <w:pStyle w:val="Znaka"/>
        <w:widowControl/>
        <w:numPr>
          <w:ilvl w:val="0"/>
          <w:numId w:val="36"/>
        </w:numPr>
        <w:spacing w:after="80"/>
        <w:ind w:left="1134" w:hanging="283"/>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6CAD2F17" w:rsidR="005231D6" w:rsidRPr="005231D6" w:rsidRDefault="005231D6" w:rsidP="00790A6E">
      <w:pPr>
        <w:pStyle w:val="BodyText21"/>
        <w:widowControl/>
        <w:numPr>
          <w:ilvl w:val="0"/>
          <w:numId w:val="12"/>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90A6E">
      <w:pPr>
        <w:numPr>
          <w:ilvl w:val="0"/>
          <w:numId w:val="23"/>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790A6E">
      <w:pPr>
        <w:pStyle w:val="Znaka"/>
        <w:widowControl/>
        <w:numPr>
          <w:ilvl w:val="0"/>
          <w:numId w:val="24"/>
        </w:numPr>
        <w:tabs>
          <w:tab w:val="clear" w:pos="1414"/>
        </w:tabs>
        <w:spacing w:after="120"/>
        <w:ind w:left="993" w:hanging="284"/>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4A509C1E" w:rsidR="005231D6" w:rsidRDefault="005231D6" w:rsidP="00790A6E">
      <w:pPr>
        <w:pStyle w:val="Znaka"/>
        <w:widowControl/>
        <w:numPr>
          <w:ilvl w:val="0"/>
          <w:numId w:val="24"/>
        </w:numPr>
        <w:tabs>
          <w:tab w:val="clear" w:pos="1414"/>
        </w:tabs>
        <w:spacing w:after="120"/>
        <w:ind w:left="993" w:hanging="284"/>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3477F6">
        <w:rPr>
          <w:rFonts w:cs="Arial"/>
          <w:color w:val="auto"/>
          <w:sz w:val="20"/>
        </w:rPr>
        <w:t> </w:t>
      </w:r>
      <w:r w:rsidR="00F64F2F">
        <w:rPr>
          <w:rFonts w:cs="Arial"/>
          <w:color w:val="auto"/>
          <w:sz w:val="20"/>
        </w:rPr>
        <w:t>00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 xml:space="preserve">pět </w:t>
      </w:r>
      <w:r w:rsidR="002A4182">
        <w:rPr>
          <w:rFonts w:cs="Arial"/>
          <w:color w:val="auto"/>
          <w:sz w:val="20"/>
        </w:rPr>
        <w:t>milionů</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790A6E">
      <w:pPr>
        <w:numPr>
          <w:ilvl w:val="0"/>
          <w:numId w:val="23"/>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790A6E">
      <w:pPr>
        <w:pStyle w:val="BodyText21"/>
        <w:widowControl/>
        <w:numPr>
          <w:ilvl w:val="0"/>
          <w:numId w:val="12"/>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790A6E">
      <w:pPr>
        <w:pStyle w:val="Odstavecseseznamem"/>
        <w:numPr>
          <w:ilvl w:val="0"/>
          <w:numId w:val="33"/>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790A6E">
      <w:pPr>
        <w:pStyle w:val="Znaka"/>
        <w:widowControl/>
        <w:numPr>
          <w:ilvl w:val="0"/>
          <w:numId w:val="38"/>
        </w:numPr>
        <w:tabs>
          <w:tab w:val="clear" w:pos="1414"/>
        </w:tabs>
        <w:spacing w:after="80"/>
        <w:ind w:left="993" w:hanging="284"/>
        <w:jc w:val="both"/>
        <w:rPr>
          <w:rFonts w:cs="Arial"/>
          <w:color w:val="auto"/>
          <w:sz w:val="20"/>
        </w:rPr>
      </w:pPr>
      <w:r w:rsidRPr="00D85400">
        <w:rPr>
          <w:rFonts w:cs="Arial"/>
          <w:color w:val="auto"/>
          <w:sz w:val="20"/>
        </w:rPr>
        <w:t xml:space="preserve">smluvní pokuty či jiného peněžitého závazku, ke kterému je zhotovitel dle této smlouvy zavázán, </w:t>
      </w:r>
    </w:p>
    <w:p w14:paraId="59EBA082" w14:textId="53D70609"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bookmarkStart w:id="7" w:name="_Hlk190691832"/>
      <w:r w:rsidR="00EA1E94" w:rsidRPr="001E65CB">
        <w:rPr>
          <w:rFonts w:ascii="Arial" w:hAnsi="Arial" w:cs="Arial"/>
          <w:iCs/>
          <w:highlight w:val="lightGray"/>
        </w:rPr>
        <w:t>………………………</w:t>
      </w:r>
      <w:bookmarkEnd w:id="7"/>
      <w:r w:rsidRPr="00D85400">
        <w:rPr>
          <w:rFonts w:ascii="Arial" w:hAnsi="Arial" w:cs="Arial"/>
        </w:rPr>
        <w:t xml:space="preserve"> vedený u </w:t>
      </w:r>
      <w:r w:rsidR="00D85400" w:rsidRPr="001E65CB">
        <w:rPr>
          <w:rFonts w:ascii="Arial" w:hAnsi="Arial" w:cs="Arial"/>
          <w:iCs/>
          <w:highlight w:val="lightGray"/>
        </w:rPr>
        <w:t>………………………</w:t>
      </w:r>
      <w:r w:rsidRPr="00D85400">
        <w:rPr>
          <w:rFonts w:ascii="Arial" w:hAnsi="Arial" w:cs="Arial"/>
        </w:rPr>
        <w:t xml:space="preserve">, variabilní symbol: IČO zhotovitele, </w:t>
      </w:r>
      <w:r w:rsidRPr="00B33377">
        <w:rPr>
          <w:rFonts w:ascii="Arial" w:hAnsi="Arial" w:cs="Arial"/>
        </w:rPr>
        <w:t xml:space="preserve">částku </w:t>
      </w:r>
      <w:r w:rsidR="00350ABC" w:rsidRPr="00B33377">
        <w:rPr>
          <w:rFonts w:ascii="Arial" w:hAnsi="Arial" w:cs="Arial"/>
        </w:rPr>
        <w:t>1</w:t>
      </w:r>
      <w:r w:rsidR="00874C5B">
        <w:rPr>
          <w:rFonts w:ascii="Arial" w:hAnsi="Arial" w:cs="Arial"/>
        </w:rPr>
        <w:t>0</w:t>
      </w:r>
      <w:r w:rsidR="00350ABC" w:rsidRPr="00B33377">
        <w:rPr>
          <w:rFonts w:ascii="Arial" w:hAnsi="Arial" w:cs="Arial"/>
        </w:rPr>
        <w:t xml:space="preserve">0 </w:t>
      </w:r>
      <w:r w:rsidRPr="00B33377">
        <w:rPr>
          <w:rFonts w:ascii="Arial" w:hAnsi="Arial" w:cs="Arial"/>
        </w:rPr>
        <w:t>000 Kč</w:t>
      </w:r>
      <w:r w:rsidRPr="00D85400">
        <w:rPr>
          <w:rFonts w:ascii="Arial" w:hAnsi="Arial" w:cs="Arial"/>
        </w:rPr>
        <w:t xml:space="preserve"> (slovy: </w:t>
      </w:r>
      <w:r w:rsidR="00EA1E94" w:rsidRPr="00D85400">
        <w:rPr>
          <w:rFonts w:ascii="Arial" w:hAnsi="Arial" w:cs="Arial"/>
        </w:rPr>
        <w:t xml:space="preserve">sto tisíc </w:t>
      </w:r>
      <w:r w:rsidRPr="00D85400">
        <w:rPr>
          <w:rFonts w:ascii="Arial" w:hAnsi="Arial" w:cs="Arial"/>
        </w:rPr>
        <w:t xml:space="preserve">korun </w:t>
      </w:r>
      <w:r w:rsidRPr="00D85400">
        <w:rPr>
          <w:rFonts w:ascii="Arial" w:hAnsi="Arial" w:cs="Arial"/>
        </w:rPr>
        <w:lastRenderedPageBreak/>
        <w:t>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790A6E">
      <w:pPr>
        <w:pStyle w:val="Odstavecseseznamem"/>
        <w:numPr>
          <w:ilvl w:val="0"/>
          <w:numId w:val="33"/>
        </w:numPr>
        <w:spacing w:after="80"/>
        <w:ind w:left="567" w:hanging="567"/>
        <w:contextualSpacing w:val="0"/>
        <w:jc w:val="both"/>
        <w:rPr>
          <w:rFonts w:ascii="Arial" w:hAnsi="Arial" w:cs="Arial"/>
        </w:rPr>
      </w:pPr>
      <w:r w:rsidRPr="000B20F0">
        <w:rPr>
          <w:rFonts w:ascii="Arial" w:hAnsi="Arial" w:cs="Arial"/>
        </w:rPr>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790A6E">
      <w:pPr>
        <w:pStyle w:val="Znaka"/>
        <w:widowControl/>
        <w:numPr>
          <w:ilvl w:val="0"/>
          <w:numId w:val="36"/>
        </w:numPr>
        <w:spacing w:after="80"/>
        <w:ind w:left="993" w:hanging="284"/>
        <w:jc w:val="both"/>
        <w:rPr>
          <w:rFonts w:cs="Arial"/>
          <w:color w:val="auto"/>
          <w:sz w:val="20"/>
        </w:rPr>
      </w:pPr>
      <w:r w:rsidRPr="00EA1E94">
        <w:rPr>
          <w:rFonts w:cs="Arial"/>
          <w:color w:val="auto"/>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E2A838F" w:rsidR="00172349" w:rsidRPr="00EA1E94" w:rsidRDefault="00172349" w:rsidP="00790A6E">
      <w:pPr>
        <w:pStyle w:val="Znaka"/>
        <w:widowControl/>
        <w:numPr>
          <w:ilvl w:val="0"/>
          <w:numId w:val="36"/>
        </w:numPr>
        <w:spacing w:after="80"/>
        <w:ind w:left="993" w:hanging="284"/>
        <w:jc w:val="both"/>
        <w:rPr>
          <w:rFonts w:cs="Arial"/>
          <w:color w:val="auto"/>
          <w:sz w:val="20"/>
        </w:rPr>
      </w:pPr>
      <w:r w:rsidRPr="00EA1E94">
        <w:rPr>
          <w:rFonts w:cs="Arial"/>
          <w:color w:val="auto"/>
          <w:sz w:val="20"/>
        </w:rPr>
        <w:t xml:space="preserve">Bankovní záruka bude vystavena ve prospěch objednatele, a to na částku </w:t>
      </w:r>
      <w:r w:rsidR="00EA1E94" w:rsidRPr="002752E5">
        <w:rPr>
          <w:rFonts w:cs="Arial"/>
          <w:sz w:val="20"/>
        </w:rPr>
        <w:t>1</w:t>
      </w:r>
      <w:r w:rsidR="00955939" w:rsidRPr="002752E5">
        <w:rPr>
          <w:rFonts w:cs="Arial"/>
          <w:sz w:val="20"/>
        </w:rPr>
        <w:t>0</w:t>
      </w:r>
      <w:r w:rsidR="00EA1E94" w:rsidRPr="002752E5">
        <w:rPr>
          <w:rFonts w:cs="Arial"/>
          <w:sz w:val="20"/>
        </w:rPr>
        <w:t>0 000 Kč (slovy: st</w:t>
      </w:r>
      <w:r w:rsidR="00955939" w:rsidRPr="002752E5">
        <w:rPr>
          <w:rFonts w:cs="Arial"/>
          <w:sz w:val="20"/>
        </w:rPr>
        <w:t>o</w:t>
      </w:r>
      <w:r w:rsidR="00EA1E94" w:rsidRPr="002752E5">
        <w:rPr>
          <w:rFonts w:cs="Arial"/>
          <w:sz w:val="20"/>
        </w:rPr>
        <w:t xml:space="preserve"> tisíc korun českých)</w:t>
      </w:r>
      <w:r w:rsidRPr="002752E5">
        <w:rPr>
          <w:rFonts w:cs="Arial"/>
          <w:color w:val="auto"/>
          <w:sz w:val="20"/>
        </w:rPr>
        <w:t xml:space="preserve">. Bankovní záruka musí být vystavena nejméně </w:t>
      </w:r>
      <w:r w:rsidRPr="002752E5">
        <w:rPr>
          <w:rFonts w:cs="Arial"/>
          <w:color w:val="auto"/>
          <w:sz w:val="20"/>
        </w:rPr>
        <w:br/>
        <w:t>na dobu od započetí díla do uplynutí šedesáti (60) měsíců ode dne předání</w:t>
      </w:r>
      <w:r w:rsidRPr="00EA1E94">
        <w:rPr>
          <w:rFonts w:cs="Arial"/>
          <w:color w:val="auto"/>
          <w:sz w:val="20"/>
        </w:rPr>
        <w:t xml:space="preserve"> díla zhotovitelem objednateli.</w:t>
      </w:r>
    </w:p>
    <w:p w14:paraId="44A9AF79" w14:textId="77777777" w:rsidR="00172349" w:rsidRPr="00EA1E94" w:rsidRDefault="00172349" w:rsidP="00790A6E">
      <w:pPr>
        <w:pStyle w:val="Znaka"/>
        <w:widowControl/>
        <w:numPr>
          <w:ilvl w:val="0"/>
          <w:numId w:val="36"/>
        </w:numPr>
        <w:spacing w:after="80"/>
        <w:ind w:left="993" w:hanging="284"/>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790A6E">
      <w:pPr>
        <w:pStyle w:val="Znaka"/>
        <w:widowControl/>
        <w:numPr>
          <w:ilvl w:val="0"/>
          <w:numId w:val="36"/>
        </w:numPr>
        <w:spacing w:after="80"/>
        <w:ind w:left="993" w:hanging="284"/>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790A6E">
      <w:pPr>
        <w:pStyle w:val="Znaka"/>
        <w:widowControl/>
        <w:numPr>
          <w:ilvl w:val="0"/>
          <w:numId w:val="36"/>
        </w:numPr>
        <w:spacing w:after="80"/>
        <w:ind w:left="993" w:hanging="284"/>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V případě sporu mezi objednatelem a zhotovitelem nemá banka, poskytující uvedené bankovní záruky, právo uložit peníze do úschovy soudu nebo jiné instituce, ale vyplatí je přímo objednateli. </w:t>
      </w:r>
      <w:r w:rsidRPr="008E35B6">
        <w:rPr>
          <w:rFonts w:ascii="Arial" w:hAnsi="Arial" w:cs="Arial"/>
        </w:rPr>
        <w:lastRenderedPageBreak/>
        <w:t>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790A6E">
      <w:pPr>
        <w:pStyle w:val="BodyText21"/>
        <w:widowControl/>
        <w:numPr>
          <w:ilvl w:val="0"/>
          <w:numId w:val="12"/>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790A6E">
      <w:pPr>
        <w:pStyle w:val="Odstavecseseznamem"/>
        <w:numPr>
          <w:ilvl w:val="0"/>
          <w:numId w:val="37"/>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790A6E">
      <w:pPr>
        <w:pStyle w:val="Odstavecseseznamem"/>
        <w:numPr>
          <w:ilvl w:val="0"/>
          <w:numId w:val="37"/>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790A6E">
      <w:pPr>
        <w:pStyle w:val="Odstavecseseznamem"/>
        <w:numPr>
          <w:ilvl w:val="0"/>
          <w:numId w:val="37"/>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2305ABA2" w:rsidR="00C234E2" w:rsidRPr="005309AF" w:rsidRDefault="00E06D8D" w:rsidP="00790A6E">
      <w:pPr>
        <w:pStyle w:val="Znaka"/>
        <w:widowControl/>
        <w:numPr>
          <w:ilvl w:val="0"/>
          <w:numId w:val="25"/>
        </w:numPr>
        <w:tabs>
          <w:tab w:val="clear" w:pos="1414"/>
        </w:tabs>
        <w:spacing w:after="80"/>
        <w:ind w:left="993" w:hanging="284"/>
        <w:jc w:val="both"/>
        <w:rPr>
          <w:rFonts w:cs="Arial"/>
          <w:color w:val="auto"/>
          <w:sz w:val="20"/>
          <w:highlight w:val="lightGray"/>
        </w:rPr>
      </w:pPr>
      <w:r w:rsidRPr="005309AF">
        <w:rPr>
          <w:rFonts w:cs="Arial"/>
          <w:iCs/>
          <w:sz w:val="20"/>
          <w:highlight w:val="lightGray"/>
          <w:shd w:val="clear" w:color="auto" w:fill="AEAAAA" w:themeFill="background2" w:themeFillShade="BF"/>
        </w:rPr>
        <w:t>…………</w:t>
      </w:r>
      <w:r w:rsidRPr="005309AF">
        <w:rPr>
          <w:rFonts w:cs="Arial"/>
          <w:iCs/>
          <w:highlight w:val="lightGray"/>
          <w:shd w:val="clear" w:color="auto" w:fill="AEAAAA" w:themeFill="background2" w:themeFillShade="BF"/>
        </w:rPr>
        <w:t>…</w:t>
      </w:r>
      <w:r w:rsidRPr="005309AF">
        <w:rPr>
          <w:rFonts w:cs="Arial"/>
          <w:iCs/>
          <w:sz w:val="20"/>
          <w:highlight w:val="lightGray"/>
          <w:shd w:val="clear" w:color="auto" w:fill="AEAAAA" w:themeFill="background2" w:themeFillShade="BF"/>
        </w:rPr>
        <w:t>…………</w:t>
      </w:r>
      <w:r w:rsidRPr="005309AF">
        <w:rPr>
          <w:rFonts w:cs="Arial"/>
          <w:iCs/>
          <w:highlight w:val="lightGray"/>
          <w:shd w:val="clear" w:color="auto" w:fill="AEAAAA" w:themeFill="background2" w:themeFillShade="BF"/>
        </w:rPr>
        <w:t>…</w:t>
      </w:r>
    </w:p>
    <w:p w14:paraId="64E468F1" w14:textId="5867F09A" w:rsidR="00793BD1" w:rsidRPr="005309AF" w:rsidRDefault="00E06D8D" w:rsidP="00790A6E">
      <w:pPr>
        <w:pStyle w:val="Znaka"/>
        <w:widowControl/>
        <w:numPr>
          <w:ilvl w:val="0"/>
          <w:numId w:val="25"/>
        </w:numPr>
        <w:tabs>
          <w:tab w:val="clear" w:pos="1414"/>
        </w:tabs>
        <w:spacing w:after="80"/>
        <w:ind w:left="993" w:hanging="284"/>
        <w:jc w:val="both"/>
        <w:rPr>
          <w:rFonts w:cs="Arial"/>
          <w:color w:val="auto"/>
          <w:sz w:val="20"/>
          <w:highlight w:val="lightGray"/>
        </w:rPr>
      </w:pPr>
      <w:r w:rsidRPr="005309AF">
        <w:rPr>
          <w:rFonts w:cs="Arial"/>
          <w:iCs/>
          <w:sz w:val="20"/>
          <w:highlight w:val="lightGray"/>
        </w:rPr>
        <w:t>…………</w:t>
      </w:r>
      <w:r w:rsidRPr="005309AF">
        <w:rPr>
          <w:rFonts w:cs="Arial"/>
          <w:iCs/>
          <w:highlight w:val="lightGray"/>
        </w:rPr>
        <w:t>…</w:t>
      </w:r>
      <w:r w:rsidRPr="005309AF">
        <w:rPr>
          <w:rFonts w:cs="Arial"/>
          <w:iCs/>
          <w:sz w:val="20"/>
          <w:highlight w:val="lightGray"/>
        </w:rPr>
        <w:t>…………</w:t>
      </w:r>
      <w:r w:rsidRPr="005309AF">
        <w:rPr>
          <w:rFonts w:cs="Arial"/>
          <w:iCs/>
          <w:highlight w:val="lightGray"/>
        </w:rPr>
        <w:t>…</w:t>
      </w:r>
    </w:p>
    <w:p w14:paraId="384368AD" w14:textId="59877490" w:rsidR="00C234E2" w:rsidRPr="00793BD1" w:rsidRDefault="00C234E2" w:rsidP="00790A6E">
      <w:pPr>
        <w:pStyle w:val="Odstavecseseznamem"/>
        <w:numPr>
          <w:ilvl w:val="0"/>
          <w:numId w:val="37"/>
        </w:numPr>
        <w:spacing w:after="80"/>
        <w:ind w:left="567" w:hanging="567"/>
        <w:contextualSpacing w:val="0"/>
        <w:jc w:val="both"/>
        <w:rPr>
          <w:rFonts w:ascii="Arial" w:hAnsi="Arial" w:cs="Arial"/>
        </w:rPr>
      </w:pPr>
      <w:r w:rsidRPr="00793BD1">
        <w:rPr>
          <w:rFonts w:ascii="Arial" w:hAnsi="Arial" w:cs="Arial"/>
        </w:rPr>
        <w:t xml:space="preserve">Oprávněné osoby objednatele ve věcech </w:t>
      </w:r>
      <w:r w:rsidR="009F5F34">
        <w:rPr>
          <w:rFonts w:ascii="Arial" w:hAnsi="Arial" w:cs="Arial"/>
        </w:rPr>
        <w:t xml:space="preserve">výkonu </w:t>
      </w:r>
      <w:r w:rsidRPr="00793BD1">
        <w:rPr>
          <w:rFonts w:ascii="Arial" w:hAnsi="Arial" w:cs="Arial"/>
        </w:rPr>
        <w:t>dozoru</w:t>
      </w:r>
      <w:r w:rsidR="009F5F34">
        <w:rPr>
          <w:rFonts w:ascii="Arial" w:hAnsi="Arial" w:cs="Arial"/>
        </w:rPr>
        <w:t xml:space="preserve"> projektanta</w:t>
      </w:r>
      <w:r w:rsidRPr="00793BD1">
        <w:rPr>
          <w:rFonts w:ascii="Arial" w:hAnsi="Arial" w:cs="Arial"/>
        </w:rPr>
        <w:t>:</w:t>
      </w:r>
    </w:p>
    <w:p w14:paraId="0D138A6B" w14:textId="5F95B267" w:rsidR="00C234E2" w:rsidRPr="00793BD1" w:rsidRDefault="000E1707" w:rsidP="00790A6E">
      <w:pPr>
        <w:pStyle w:val="Znaka"/>
        <w:widowControl/>
        <w:numPr>
          <w:ilvl w:val="0"/>
          <w:numId w:val="26"/>
        </w:numPr>
        <w:tabs>
          <w:tab w:val="clear" w:pos="1414"/>
        </w:tabs>
        <w:spacing w:after="80"/>
        <w:ind w:left="993" w:hanging="284"/>
        <w:jc w:val="both"/>
        <w:rPr>
          <w:rFonts w:cs="Arial"/>
          <w:color w:val="auto"/>
          <w:sz w:val="20"/>
        </w:rPr>
      </w:pPr>
      <w:r w:rsidRPr="000E1707">
        <w:rPr>
          <w:rFonts w:cs="Arial"/>
          <w:color w:val="auto"/>
          <w:sz w:val="20"/>
          <w:highlight w:val="lightGray"/>
        </w:rPr>
        <w:t>………………………..</w:t>
      </w:r>
    </w:p>
    <w:p w14:paraId="7E1AA97A" w14:textId="5F0A31F6" w:rsidR="00C234E2" w:rsidRPr="00793BD1" w:rsidRDefault="00C234E2" w:rsidP="00790A6E">
      <w:pPr>
        <w:pStyle w:val="Odstavecseseznamem"/>
        <w:numPr>
          <w:ilvl w:val="0"/>
          <w:numId w:val="37"/>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586232BF" w14:textId="2AE09C91" w:rsidR="00CE6CBA" w:rsidRPr="00CE6CBA" w:rsidRDefault="00CE6CBA" w:rsidP="00790A6E">
      <w:pPr>
        <w:pStyle w:val="Znaka"/>
        <w:widowControl/>
        <w:numPr>
          <w:ilvl w:val="0"/>
          <w:numId w:val="27"/>
        </w:numPr>
        <w:tabs>
          <w:tab w:val="clear" w:pos="1414"/>
        </w:tabs>
        <w:spacing w:after="80"/>
        <w:ind w:left="993" w:hanging="284"/>
        <w:jc w:val="both"/>
        <w:rPr>
          <w:rFonts w:cs="Arial"/>
          <w:iCs/>
          <w:sz w:val="20"/>
        </w:rPr>
      </w:pPr>
      <w:r w:rsidRPr="005309AF">
        <w:rPr>
          <w:rFonts w:cs="Arial"/>
          <w:iCs/>
          <w:sz w:val="20"/>
          <w:highlight w:val="lightGray"/>
        </w:rPr>
        <w:t>…………………………</w:t>
      </w:r>
    </w:p>
    <w:p w14:paraId="23A28503" w14:textId="1960BDA0" w:rsidR="00C234E2" w:rsidRPr="00241125" w:rsidRDefault="00C234E2" w:rsidP="00790A6E">
      <w:pPr>
        <w:pStyle w:val="Odstavecseseznamem"/>
        <w:numPr>
          <w:ilvl w:val="0"/>
          <w:numId w:val="37"/>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0070F54A" w:rsidR="00C234E2" w:rsidRPr="00241125" w:rsidRDefault="00E06D8D" w:rsidP="00790A6E">
      <w:pPr>
        <w:pStyle w:val="Znaka"/>
        <w:widowControl/>
        <w:numPr>
          <w:ilvl w:val="0"/>
          <w:numId w:val="40"/>
        </w:numPr>
        <w:tabs>
          <w:tab w:val="clear" w:pos="1414"/>
        </w:tabs>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1444A842" w14:textId="5E5341E0" w:rsidR="00C234E2" w:rsidRPr="00241125" w:rsidRDefault="00E06D8D" w:rsidP="00790A6E">
      <w:pPr>
        <w:pStyle w:val="Znaka"/>
        <w:widowControl/>
        <w:numPr>
          <w:ilvl w:val="0"/>
          <w:numId w:val="40"/>
        </w:numPr>
        <w:shd w:val="clear" w:color="auto" w:fill="FFFFFF" w:themeFill="background1"/>
        <w:spacing w:after="80"/>
        <w:ind w:left="993" w:hanging="284"/>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790A6E">
      <w:pPr>
        <w:pStyle w:val="Odstavecseseznamem"/>
        <w:numPr>
          <w:ilvl w:val="0"/>
          <w:numId w:val="37"/>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790A6E">
      <w:pPr>
        <w:pStyle w:val="BodyText21"/>
        <w:widowControl/>
        <w:numPr>
          <w:ilvl w:val="0"/>
          <w:numId w:val="12"/>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lastRenderedPageBreak/>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790A6E">
      <w:pPr>
        <w:pStyle w:val="Odstavecseseznamem"/>
        <w:numPr>
          <w:ilvl w:val="0"/>
          <w:numId w:val="34"/>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790A6E">
      <w:pPr>
        <w:pStyle w:val="BodyText21"/>
        <w:widowControl/>
        <w:numPr>
          <w:ilvl w:val="0"/>
          <w:numId w:val="12"/>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790A6E">
      <w:pPr>
        <w:numPr>
          <w:ilvl w:val="0"/>
          <w:numId w:val="32"/>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790A6E">
      <w:pPr>
        <w:numPr>
          <w:ilvl w:val="0"/>
          <w:numId w:val="32"/>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3B65A466" w:rsidR="00444EFC" w:rsidRDefault="00CD361C" w:rsidP="00790A6E">
      <w:pPr>
        <w:numPr>
          <w:ilvl w:val="0"/>
          <w:numId w:val="32"/>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003F0BEB">
        <w:rPr>
          <w:rFonts w:ascii="Arial" w:hAnsi="Arial" w:cs="Arial"/>
        </w:rPr>
        <w:t>na</w:t>
      </w:r>
      <w:r w:rsidRPr="00241125">
        <w:rPr>
          <w:rFonts w:ascii="Arial" w:hAnsi="Arial" w:cs="Arial"/>
        </w:rPr>
        <w:t xml:space="preserve"> </w:t>
      </w:r>
      <w:r w:rsidR="003F0BEB" w:rsidRPr="003F0BEB">
        <w:rPr>
          <w:rFonts w:ascii="Arial" w:hAnsi="Arial" w:cs="Arial"/>
        </w:rPr>
        <w:t>e-mail</w:t>
      </w:r>
      <w:r w:rsidR="002752E5" w:rsidRPr="003F0BEB">
        <w:rPr>
          <w:rFonts w:ascii="Arial" w:hAnsi="Arial" w:cs="Arial"/>
        </w:rPr>
        <w:t xml:space="preserve"> :</w:t>
      </w:r>
      <w:r w:rsidR="003F0BEB" w:rsidRPr="001E65CB">
        <w:rPr>
          <w:rFonts w:ascii="Arial" w:hAnsi="Arial" w:cs="Arial"/>
          <w:highlight w:val="lightGray"/>
        </w:rPr>
        <w:t>……..</w:t>
      </w:r>
      <w:r w:rsidR="003F0BEB" w:rsidRPr="003F0BEB">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3BEFB04C" w:rsidR="00CD361C" w:rsidRPr="001E65CB" w:rsidRDefault="00CD361C" w:rsidP="00790A6E">
      <w:pPr>
        <w:numPr>
          <w:ilvl w:val="0"/>
          <w:numId w:val="32"/>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r w:rsidR="003F0BEB">
        <w:rPr>
          <w:rFonts w:ascii="Arial" w:hAnsi="Arial" w:cs="Arial"/>
        </w:rPr>
        <w:t xml:space="preserve"> </w:t>
      </w:r>
      <w:r w:rsidR="003F0BEB" w:rsidRPr="00CD361C">
        <w:rPr>
          <w:rFonts w:ascii="Arial" w:hAnsi="Arial" w:cs="Arial"/>
        </w:rPr>
        <w:t>dle zákona č. 340/2015 Sb., o zvláštních podmínkách účinnosti některých smluv, uveřejňování těchto smluv a o registru smluv (zákon o registru smluv), ve znění pozdějších předpisů.</w:t>
      </w:r>
    </w:p>
    <w:p w14:paraId="0398B23F" w14:textId="7C97BCF4" w:rsidR="00CD361C" w:rsidRPr="00C93863" w:rsidRDefault="00CD361C" w:rsidP="00790A6E">
      <w:pPr>
        <w:numPr>
          <w:ilvl w:val="0"/>
          <w:numId w:val="32"/>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53A3D249" w14:textId="4EC72BBC" w:rsidR="00540614" w:rsidRDefault="00540614"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591BB94F" w14:textId="07DA6DD5" w:rsidR="001D3746" w:rsidRPr="00B324D0" w:rsidRDefault="001D3746"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2ADF7426" w:rsidR="000E1707" w:rsidRDefault="00B324D0" w:rsidP="000E1707">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p>
    <w:p w14:paraId="5D550081" w14:textId="0CEA0FBC" w:rsidR="0089420F" w:rsidRDefault="0089420F" w:rsidP="00B324D0">
      <w:pPr>
        <w:tabs>
          <w:tab w:val="center" w:pos="1701"/>
          <w:tab w:val="center" w:pos="7371"/>
        </w:tabs>
        <w:spacing w:line="276" w:lineRule="auto"/>
        <w:rPr>
          <w:rFonts w:ascii="Arial" w:hAnsi="Arial" w:cs="Arial"/>
        </w:rPr>
      </w:pPr>
    </w:p>
    <w:sectPr w:rsidR="008942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6204" w14:textId="77777777" w:rsidR="008E0547" w:rsidRDefault="008E0547" w:rsidP="005019F3">
      <w:r>
        <w:separator/>
      </w:r>
    </w:p>
  </w:endnote>
  <w:endnote w:type="continuationSeparator" w:id="0">
    <w:p w14:paraId="21DEEC22" w14:textId="77777777" w:rsidR="008E0547" w:rsidRDefault="008E0547"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rebuchet MS"/>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A529" w14:textId="77777777" w:rsidR="008E0547" w:rsidRDefault="008E0547" w:rsidP="005019F3">
      <w:r>
        <w:separator/>
      </w:r>
    </w:p>
  </w:footnote>
  <w:footnote w:type="continuationSeparator" w:id="0">
    <w:p w14:paraId="0EC9C05D" w14:textId="77777777" w:rsidR="008E0547" w:rsidRDefault="008E0547"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03A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5A3D1C9F"/>
    <w:multiLevelType w:val="hybridMultilevel"/>
    <w:tmpl w:val="BF8E47DE"/>
    <w:lvl w:ilvl="0" w:tplc="04050017">
      <w:start w:val="1"/>
      <w:numFmt w:val="lowerLetter"/>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3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65647BD3"/>
    <w:multiLevelType w:val="hybridMultilevel"/>
    <w:tmpl w:val="35AC80A2"/>
    <w:lvl w:ilvl="0" w:tplc="8272EE90">
      <w:start w:val="1"/>
      <w:numFmt w:val="bullet"/>
      <w:lvlText w:val="-"/>
      <w:lvlJc w:val="left"/>
      <w:pPr>
        <w:ind w:left="144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6106985">
    <w:abstractNumId w:val="31"/>
  </w:num>
  <w:num w:numId="2" w16cid:durableId="1833908284">
    <w:abstractNumId w:val="28"/>
  </w:num>
  <w:num w:numId="3" w16cid:durableId="995187770">
    <w:abstractNumId w:val="38"/>
  </w:num>
  <w:num w:numId="4" w16cid:durableId="1050571681">
    <w:abstractNumId w:val="39"/>
  </w:num>
  <w:num w:numId="5" w16cid:durableId="1317999705">
    <w:abstractNumId w:val="29"/>
  </w:num>
  <w:num w:numId="6" w16cid:durableId="1245918260">
    <w:abstractNumId w:val="22"/>
  </w:num>
  <w:num w:numId="7" w16cid:durableId="1253390379">
    <w:abstractNumId w:val="27"/>
  </w:num>
  <w:num w:numId="8" w16cid:durableId="1774937344">
    <w:abstractNumId w:val="35"/>
  </w:num>
  <w:num w:numId="9" w16cid:durableId="2141263553">
    <w:abstractNumId w:val="18"/>
  </w:num>
  <w:num w:numId="10" w16cid:durableId="605159847">
    <w:abstractNumId w:val="23"/>
  </w:num>
  <w:num w:numId="11" w16cid:durableId="1759053830">
    <w:abstractNumId w:val="10"/>
  </w:num>
  <w:num w:numId="12" w16cid:durableId="1706902798">
    <w:abstractNumId w:val="28"/>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197812262">
    <w:abstractNumId w:val="4"/>
  </w:num>
  <w:num w:numId="14" w16cid:durableId="1890919055">
    <w:abstractNumId w:val="20"/>
  </w:num>
  <w:num w:numId="15" w16cid:durableId="752507152">
    <w:abstractNumId w:val="9"/>
  </w:num>
  <w:num w:numId="16" w16cid:durableId="479079036">
    <w:abstractNumId w:val="2"/>
  </w:num>
  <w:num w:numId="17" w16cid:durableId="2138722240">
    <w:abstractNumId w:val="11"/>
  </w:num>
  <w:num w:numId="18" w16cid:durableId="1576891585">
    <w:abstractNumId w:val="7"/>
  </w:num>
  <w:num w:numId="19" w16cid:durableId="651059307">
    <w:abstractNumId w:val="21"/>
  </w:num>
  <w:num w:numId="20" w16cid:durableId="1575968829">
    <w:abstractNumId w:val="25"/>
  </w:num>
  <w:num w:numId="21" w16cid:durableId="419984721">
    <w:abstractNumId w:val="16"/>
  </w:num>
  <w:num w:numId="22" w16cid:durableId="1008363613">
    <w:abstractNumId w:val="1"/>
  </w:num>
  <w:num w:numId="23" w16cid:durableId="383215186">
    <w:abstractNumId w:val="24"/>
  </w:num>
  <w:num w:numId="24" w16cid:durableId="1613240216">
    <w:abstractNumId w:val="17"/>
  </w:num>
  <w:num w:numId="25" w16cid:durableId="1008752153">
    <w:abstractNumId w:val="6"/>
  </w:num>
  <w:num w:numId="26" w16cid:durableId="364912245">
    <w:abstractNumId w:val="15"/>
  </w:num>
  <w:num w:numId="27" w16cid:durableId="1985306571">
    <w:abstractNumId w:val="37"/>
  </w:num>
  <w:num w:numId="28" w16cid:durableId="21515590">
    <w:abstractNumId w:val="19"/>
  </w:num>
  <w:num w:numId="29" w16cid:durableId="911309398">
    <w:abstractNumId w:val="26"/>
  </w:num>
  <w:num w:numId="30" w16cid:durableId="1488478997">
    <w:abstractNumId w:val="32"/>
  </w:num>
  <w:num w:numId="31" w16cid:durableId="1415322491">
    <w:abstractNumId w:val="34"/>
  </w:num>
  <w:num w:numId="32" w16cid:durableId="177160013">
    <w:abstractNumId w:val="14"/>
  </w:num>
  <w:num w:numId="33" w16cid:durableId="1906840002">
    <w:abstractNumId w:val="36"/>
  </w:num>
  <w:num w:numId="34" w16cid:durableId="2053379433">
    <w:abstractNumId w:val="12"/>
  </w:num>
  <w:num w:numId="35" w16cid:durableId="1509711583">
    <w:abstractNumId w:val="3"/>
  </w:num>
  <w:num w:numId="36" w16cid:durableId="505366261">
    <w:abstractNumId w:val="5"/>
  </w:num>
  <w:num w:numId="37" w16cid:durableId="1071195579">
    <w:abstractNumId w:val="8"/>
  </w:num>
  <w:num w:numId="38" w16cid:durableId="953750758">
    <w:abstractNumId w:val="30"/>
  </w:num>
  <w:num w:numId="39" w16cid:durableId="1459375418">
    <w:abstractNumId w:val="33"/>
  </w:num>
  <w:num w:numId="40" w16cid:durableId="77628967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141BF"/>
    <w:rsid w:val="00021985"/>
    <w:rsid w:val="00025955"/>
    <w:rsid w:val="000303D3"/>
    <w:rsid w:val="000315F0"/>
    <w:rsid w:val="00034CCF"/>
    <w:rsid w:val="00050F9E"/>
    <w:rsid w:val="000567E7"/>
    <w:rsid w:val="00064722"/>
    <w:rsid w:val="000725CF"/>
    <w:rsid w:val="000730E0"/>
    <w:rsid w:val="000871FD"/>
    <w:rsid w:val="000A0087"/>
    <w:rsid w:val="000A59AF"/>
    <w:rsid w:val="000A6A30"/>
    <w:rsid w:val="000C5DD2"/>
    <w:rsid w:val="000C723E"/>
    <w:rsid w:val="000D77B2"/>
    <w:rsid w:val="000E1707"/>
    <w:rsid w:val="000F257E"/>
    <w:rsid w:val="000F610D"/>
    <w:rsid w:val="001009C1"/>
    <w:rsid w:val="00100E61"/>
    <w:rsid w:val="00105E2C"/>
    <w:rsid w:val="0011406E"/>
    <w:rsid w:val="00115CC4"/>
    <w:rsid w:val="0012586A"/>
    <w:rsid w:val="00125C74"/>
    <w:rsid w:val="0013115B"/>
    <w:rsid w:val="0014442F"/>
    <w:rsid w:val="00146061"/>
    <w:rsid w:val="001549AE"/>
    <w:rsid w:val="00160AF3"/>
    <w:rsid w:val="00172349"/>
    <w:rsid w:val="00173E32"/>
    <w:rsid w:val="00174C2E"/>
    <w:rsid w:val="0017601D"/>
    <w:rsid w:val="001962E6"/>
    <w:rsid w:val="001A2AC5"/>
    <w:rsid w:val="001A6BB2"/>
    <w:rsid w:val="001B16DB"/>
    <w:rsid w:val="001C306D"/>
    <w:rsid w:val="001C7899"/>
    <w:rsid w:val="001D1268"/>
    <w:rsid w:val="001D3746"/>
    <w:rsid w:val="001D449C"/>
    <w:rsid w:val="001E2869"/>
    <w:rsid w:val="001E65CB"/>
    <w:rsid w:val="001F0CD4"/>
    <w:rsid w:val="001F640D"/>
    <w:rsid w:val="002175E6"/>
    <w:rsid w:val="00221F1E"/>
    <w:rsid w:val="0022544F"/>
    <w:rsid w:val="0023504E"/>
    <w:rsid w:val="00241125"/>
    <w:rsid w:val="00250FAF"/>
    <w:rsid w:val="00253D23"/>
    <w:rsid w:val="00253DF2"/>
    <w:rsid w:val="002602C1"/>
    <w:rsid w:val="0026214A"/>
    <w:rsid w:val="00267424"/>
    <w:rsid w:val="002700C0"/>
    <w:rsid w:val="0027238A"/>
    <w:rsid w:val="002752E5"/>
    <w:rsid w:val="002901DF"/>
    <w:rsid w:val="00290481"/>
    <w:rsid w:val="002926C1"/>
    <w:rsid w:val="00294B61"/>
    <w:rsid w:val="002A4182"/>
    <w:rsid w:val="002A652C"/>
    <w:rsid w:val="002A7280"/>
    <w:rsid w:val="002B5772"/>
    <w:rsid w:val="002D16F1"/>
    <w:rsid w:val="002D7573"/>
    <w:rsid w:val="002E0934"/>
    <w:rsid w:val="002E16BA"/>
    <w:rsid w:val="002E60AF"/>
    <w:rsid w:val="002E61D9"/>
    <w:rsid w:val="002F1B4A"/>
    <w:rsid w:val="002F41AE"/>
    <w:rsid w:val="002F66FB"/>
    <w:rsid w:val="00300E66"/>
    <w:rsid w:val="00304174"/>
    <w:rsid w:val="0030685E"/>
    <w:rsid w:val="003121ED"/>
    <w:rsid w:val="00315480"/>
    <w:rsid w:val="00323C92"/>
    <w:rsid w:val="00326EA8"/>
    <w:rsid w:val="00327C53"/>
    <w:rsid w:val="003320F0"/>
    <w:rsid w:val="0033452F"/>
    <w:rsid w:val="003379BD"/>
    <w:rsid w:val="003412B6"/>
    <w:rsid w:val="003477F6"/>
    <w:rsid w:val="00350ABC"/>
    <w:rsid w:val="00356150"/>
    <w:rsid w:val="003652B2"/>
    <w:rsid w:val="00385813"/>
    <w:rsid w:val="00392F07"/>
    <w:rsid w:val="0039773A"/>
    <w:rsid w:val="003A45EE"/>
    <w:rsid w:val="003B466E"/>
    <w:rsid w:val="003C412E"/>
    <w:rsid w:val="003C73F7"/>
    <w:rsid w:val="003D0FB2"/>
    <w:rsid w:val="003D3068"/>
    <w:rsid w:val="003D5555"/>
    <w:rsid w:val="003F0BEB"/>
    <w:rsid w:val="003F3E68"/>
    <w:rsid w:val="00412D6D"/>
    <w:rsid w:val="00413781"/>
    <w:rsid w:val="00426877"/>
    <w:rsid w:val="004315C0"/>
    <w:rsid w:val="00441100"/>
    <w:rsid w:val="00444EFC"/>
    <w:rsid w:val="0044670F"/>
    <w:rsid w:val="004513B9"/>
    <w:rsid w:val="00451E19"/>
    <w:rsid w:val="00460EA5"/>
    <w:rsid w:val="00461372"/>
    <w:rsid w:val="00461E3A"/>
    <w:rsid w:val="00465B24"/>
    <w:rsid w:val="004661F9"/>
    <w:rsid w:val="00470D3B"/>
    <w:rsid w:val="00477E50"/>
    <w:rsid w:val="0048762C"/>
    <w:rsid w:val="00495F33"/>
    <w:rsid w:val="004A2A53"/>
    <w:rsid w:val="004A41B1"/>
    <w:rsid w:val="004A437F"/>
    <w:rsid w:val="004B2F91"/>
    <w:rsid w:val="004D0657"/>
    <w:rsid w:val="004D4C45"/>
    <w:rsid w:val="004E7AFF"/>
    <w:rsid w:val="004F16B5"/>
    <w:rsid w:val="004F243B"/>
    <w:rsid w:val="004F2C16"/>
    <w:rsid w:val="004F6625"/>
    <w:rsid w:val="005019F3"/>
    <w:rsid w:val="00503743"/>
    <w:rsid w:val="00504C02"/>
    <w:rsid w:val="00517FA9"/>
    <w:rsid w:val="005231D6"/>
    <w:rsid w:val="0052340C"/>
    <w:rsid w:val="00526A2B"/>
    <w:rsid w:val="00527410"/>
    <w:rsid w:val="005309AF"/>
    <w:rsid w:val="0053387D"/>
    <w:rsid w:val="00534DDB"/>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2670A"/>
    <w:rsid w:val="00626B77"/>
    <w:rsid w:val="006354E6"/>
    <w:rsid w:val="00636529"/>
    <w:rsid w:val="006426D1"/>
    <w:rsid w:val="00644857"/>
    <w:rsid w:val="00652F6D"/>
    <w:rsid w:val="00653889"/>
    <w:rsid w:val="006574F5"/>
    <w:rsid w:val="00662B38"/>
    <w:rsid w:val="00675CEA"/>
    <w:rsid w:val="006777BF"/>
    <w:rsid w:val="00682ABE"/>
    <w:rsid w:val="006834CD"/>
    <w:rsid w:val="00694951"/>
    <w:rsid w:val="006A2E20"/>
    <w:rsid w:val="006B787C"/>
    <w:rsid w:val="006C795F"/>
    <w:rsid w:val="006D5EC5"/>
    <w:rsid w:val="006D6C9B"/>
    <w:rsid w:val="006E1553"/>
    <w:rsid w:val="007043C4"/>
    <w:rsid w:val="007057A0"/>
    <w:rsid w:val="00710B40"/>
    <w:rsid w:val="0071177C"/>
    <w:rsid w:val="00712E82"/>
    <w:rsid w:val="00713757"/>
    <w:rsid w:val="00723AB1"/>
    <w:rsid w:val="007311BF"/>
    <w:rsid w:val="0073639B"/>
    <w:rsid w:val="007478AB"/>
    <w:rsid w:val="007515B8"/>
    <w:rsid w:val="00751D9B"/>
    <w:rsid w:val="0075323F"/>
    <w:rsid w:val="007543D6"/>
    <w:rsid w:val="00760458"/>
    <w:rsid w:val="007637AA"/>
    <w:rsid w:val="0077689D"/>
    <w:rsid w:val="0078230B"/>
    <w:rsid w:val="00784841"/>
    <w:rsid w:val="00790A6E"/>
    <w:rsid w:val="00793934"/>
    <w:rsid w:val="00793BD1"/>
    <w:rsid w:val="007943BF"/>
    <w:rsid w:val="007976A5"/>
    <w:rsid w:val="007A4273"/>
    <w:rsid w:val="007B1241"/>
    <w:rsid w:val="007D2407"/>
    <w:rsid w:val="007D61E4"/>
    <w:rsid w:val="007E3C84"/>
    <w:rsid w:val="007E4776"/>
    <w:rsid w:val="007E7C3E"/>
    <w:rsid w:val="007F7D02"/>
    <w:rsid w:val="00805719"/>
    <w:rsid w:val="00807AE0"/>
    <w:rsid w:val="0081380C"/>
    <w:rsid w:val="008148B9"/>
    <w:rsid w:val="00816004"/>
    <w:rsid w:val="00827161"/>
    <w:rsid w:val="00836E19"/>
    <w:rsid w:val="00842D31"/>
    <w:rsid w:val="008453F5"/>
    <w:rsid w:val="00845AF9"/>
    <w:rsid w:val="00846024"/>
    <w:rsid w:val="00846CB5"/>
    <w:rsid w:val="008539D8"/>
    <w:rsid w:val="008602FF"/>
    <w:rsid w:val="00862298"/>
    <w:rsid w:val="00863363"/>
    <w:rsid w:val="0086671F"/>
    <w:rsid w:val="00872B82"/>
    <w:rsid w:val="00873A93"/>
    <w:rsid w:val="00874C5B"/>
    <w:rsid w:val="008915D7"/>
    <w:rsid w:val="00892B66"/>
    <w:rsid w:val="0089420F"/>
    <w:rsid w:val="008A6867"/>
    <w:rsid w:val="008B6284"/>
    <w:rsid w:val="008B76FF"/>
    <w:rsid w:val="008D1998"/>
    <w:rsid w:val="008D5BC8"/>
    <w:rsid w:val="008E0547"/>
    <w:rsid w:val="008E3EA5"/>
    <w:rsid w:val="008F3C26"/>
    <w:rsid w:val="00900BD0"/>
    <w:rsid w:val="009038C3"/>
    <w:rsid w:val="00912653"/>
    <w:rsid w:val="009206F9"/>
    <w:rsid w:val="00920B4E"/>
    <w:rsid w:val="009260DF"/>
    <w:rsid w:val="00933E93"/>
    <w:rsid w:val="009359B9"/>
    <w:rsid w:val="00941968"/>
    <w:rsid w:val="00941B22"/>
    <w:rsid w:val="00941CA0"/>
    <w:rsid w:val="00944A1C"/>
    <w:rsid w:val="00955939"/>
    <w:rsid w:val="009604AB"/>
    <w:rsid w:val="00963269"/>
    <w:rsid w:val="00985FCE"/>
    <w:rsid w:val="009912D3"/>
    <w:rsid w:val="00995698"/>
    <w:rsid w:val="00997745"/>
    <w:rsid w:val="009A0001"/>
    <w:rsid w:val="009A0959"/>
    <w:rsid w:val="009A323D"/>
    <w:rsid w:val="009C0F01"/>
    <w:rsid w:val="009C2DBD"/>
    <w:rsid w:val="009C5EAA"/>
    <w:rsid w:val="009D21FB"/>
    <w:rsid w:val="009D523A"/>
    <w:rsid w:val="009D7303"/>
    <w:rsid w:val="009E4167"/>
    <w:rsid w:val="009F5F34"/>
    <w:rsid w:val="00A001A5"/>
    <w:rsid w:val="00A0308B"/>
    <w:rsid w:val="00A048C7"/>
    <w:rsid w:val="00A201F8"/>
    <w:rsid w:val="00A2044D"/>
    <w:rsid w:val="00A20862"/>
    <w:rsid w:val="00A21A9A"/>
    <w:rsid w:val="00A25382"/>
    <w:rsid w:val="00A2623E"/>
    <w:rsid w:val="00A2701F"/>
    <w:rsid w:val="00A31274"/>
    <w:rsid w:val="00A57949"/>
    <w:rsid w:val="00A63005"/>
    <w:rsid w:val="00A67141"/>
    <w:rsid w:val="00A717C7"/>
    <w:rsid w:val="00A7449C"/>
    <w:rsid w:val="00A8171D"/>
    <w:rsid w:val="00A877AB"/>
    <w:rsid w:val="00AA0C6E"/>
    <w:rsid w:val="00AA615B"/>
    <w:rsid w:val="00AA78C8"/>
    <w:rsid w:val="00AB4418"/>
    <w:rsid w:val="00AB5520"/>
    <w:rsid w:val="00AB7192"/>
    <w:rsid w:val="00AC4052"/>
    <w:rsid w:val="00AD17D5"/>
    <w:rsid w:val="00AE20D3"/>
    <w:rsid w:val="00AF56F1"/>
    <w:rsid w:val="00B05506"/>
    <w:rsid w:val="00B16342"/>
    <w:rsid w:val="00B21D4B"/>
    <w:rsid w:val="00B26D26"/>
    <w:rsid w:val="00B30B28"/>
    <w:rsid w:val="00B324D0"/>
    <w:rsid w:val="00B33377"/>
    <w:rsid w:val="00B4056B"/>
    <w:rsid w:val="00B45899"/>
    <w:rsid w:val="00B55454"/>
    <w:rsid w:val="00B93FB6"/>
    <w:rsid w:val="00BB593D"/>
    <w:rsid w:val="00BC5EDD"/>
    <w:rsid w:val="00BD0A6F"/>
    <w:rsid w:val="00BD52FE"/>
    <w:rsid w:val="00BD56D2"/>
    <w:rsid w:val="00BD7889"/>
    <w:rsid w:val="00BD7920"/>
    <w:rsid w:val="00BE0C09"/>
    <w:rsid w:val="00BF6D0A"/>
    <w:rsid w:val="00C04AF2"/>
    <w:rsid w:val="00C140C6"/>
    <w:rsid w:val="00C15AC8"/>
    <w:rsid w:val="00C2244B"/>
    <w:rsid w:val="00C234E2"/>
    <w:rsid w:val="00C24CAF"/>
    <w:rsid w:val="00C3533A"/>
    <w:rsid w:val="00C4351C"/>
    <w:rsid w:val="00C4392D"/>
    <w:rsid w:val="00C46E4C"/>
    <w:rsid w:val="00C53561"/>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E6CBA"/>
    <w:rsid w:val="00CF00AB"/>
    <w:rsid w:val="00CF21B5"/>
    <w:rsid w:val="00CF26EB"/>
    <w:rsid w:val="00CF641A"/>
    <w:rsid w:val="00D0069E"/>
    <w:rsid w:val="00D1112D"/>
    <w:rsid w:val="00D11710"/>
    <w:rsid w:val="00D123EB"/>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758D5"/>
    <w:rsid w:val="00D8385F"/>
    <w:rsid w:val="00D85400"/>
    <w:rsid w:val="00D8722B"/>
    <w:rsid w:val="00D87542"/>
    <w:rsid w:val="00D90992"/>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37D2D"/>
    <w:rsid w:val="00E42994"/>
    <w:rsid w:val="00E4496A"/>
    <w:rsid w:val="00E46ED4"/>
    <w:rsid w:val="00E805F6"/>
    <w:rsid w:val="00E8126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2A62"/>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76654"/>
    <w:rsid w:val="00F821D5"/>
    <w:rsid w:val="00F95580"/>
    <w:rsid w:val="00F9762C"/>
    <w:rsid w:val="00FA04AC"/>
    <w:rsid w:val="00FA6F4C"/>
    <w:rsid w:val="00FA798E"/>
    <w:rsid w:val="00FB3427"/>
    <w:rsid w:val="00FC331F"/>
    <w:rsid w:val="00FC43C8"/>
    <w:rsid w:val="00FC47A8"/>
    <w:rsid w:val="00FD1DEF"/>
    <w:rsid w:val="00FD3EE5"/>
    <w:rsid w:val="00FE34ED"/>
    <w:rsid w:val="00FE3D9F"/>
    <w:rsid w:val="00FF0DD6"/>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4D38D96-259C-4B6D-986E-E7F2ECAF15A7}">
  <ds:schemaRefs>
    <ds:schemaRef ds:uri="http://schemas.openxmlformats.org/officeDocument/2006/bibliography"/>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16</Pages>
  <Words>8784</Words>
  <Characters>51832</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26</cp:revision>
  <cp:lastPrinted>2025-02-20T12:56:00Z</cp:lastPrinted>
  <dcterms:created xsi:type="dcterms:W3CDTF">2026-01-09T13:19:00Z</dcterms:created>
  <dcterms:modified xsi:type="dcterms:W3CDTF">2026-02-16T10:02:00Z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