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F7E31" w14:textId="6DCA6E29" w:rsidR="00C94504" w:rsidRDefault="00905C20" w:rsidP="00905C20">
      <w:pPr>
        <w:pStyle w:val="Nadpis1"/>
      </w:pPr>
      <w:r>
        <w:t>Vymezení předmětu plnění</w:t>
      </w:r>
    </w:p>
    <w:p w14:paraId="72985A36" w14:textId="77777777" w:rsidR="00951459" w:rsidRPr="00951459" w:rsidRDefault="00951459" w:rsidP="00951459"/>
    <w:p w14:paraId="24C38241" w14:textId="7E1271B3" w:rsidR="00C3231E" w:rsidRPr="00C3231E" w:rsidRDefault="00C3231E" w:rsidP="00E21EE1">
      <w:pPr>
        <w:pStyle w:val="Nadpis2"/>
        <w:numPr>
          <w:ilvl w:val="0"/>
          <w:numId w:val="10"/>
        </w:numPr>
      </w:pPr>
      <w:r w:rsidRPr="00C3231E">
        <w:t>Předmět plnění</w:t>
      </w:r>
    </w:p>
    <w:p w14:paraId="361F4CAA" w14:textId="77777777" w:rsidR="00951459" w:rsidRDefault="00951459" w:rsidP="00C3231E">
      <w:pPr>
        <w:tabs>
          <w:tab w:val="num" w:pos="567"/>
        </w:tabs>
      </w:pPr>
    </w:p>
    <w:p w14:paraId="588311A8" w14:textId="52AF835F" w:rsidR="00955EDD" w:rsidRDefault="00C3231E" w:rsidP="00705F5E">
      <w:pPr>
        <w:pStyle w:val="Odstavecseseznamem"/>
        <w:numPr>
          <w:ilvl w:val="0"/>
          <w:numId w:val="35"/>
        </w:numPr>
        <w:tabs>
          <w:tab w:val="num" w:pos="851"/>
        </w:tabs>
        <w:ind w:left="851" w:hanging="567"/>
      </w:pPr>
      <w:r w:rsidRPr="00C3231E">
        <w:t xml:space="preserve">Předmětem plnění veřejné zakázky </w:t>
      </w:r>
      <w:r w:rsidR="005F3B8E" w:rsidRPr="00B36A0C">
        <w:t>je</w:t>
      </w:r>
      <w:r w:rsidR="005F3B8E" w:rsidRPr="00E17613">
        <w:rPr>
          <w:b/>
          <w:bCs/>
        </w:rPr>
        <w:t xml:space="preserve"> </w:t>
      </w:r>
      <w:r w:rsidR="00E17613" w:rsidRPr="00E17613">
        <w:rPr>
          <w:b/>
          <w:bCs/>
        </w:rPr>
        <w:t xml:space="preserve">„Poskytování servisních služeb pro ekonomický systém příspěvkových organizací GINIS SQL Expres“ </w:t>
      </w:r>
      <w:r w:rsidR="00E17613" w:rsidRPr="00562F09">
        <w:t xml:space="preserve">pro </w:t>
      </w:r>
      <w:r w:rsidR="00E17613">
        <w:t>56 organizací</w:t>
      </w:r>
      <w:r w:rsidR="00A43AC6">
        <w:t xml:space="preserve"> Karlovarského kraje</w:t>
      </w:r>
      <w:r w:rsidRPr="00C3231E">
        <w:t xml:space="preserve">. </w:t>
      </w:r>
      <w:r w:rsidR="00FF6717">
        <w:t xml:space="preserve"> </w:t>
      </w:r>
    </w:p>
    <w:p w14:paraId="24BA05AC" w14:textId="77777777" w:rsidR="005B6091" w:rsidRDefault="005B6091"/>
    <w:p w14:paraId="182ACB26" w14:textId="5450D11E" w:rsidR="005B6091" w:rsidRDefault="005B6091" w:rsidP="00E21EE1">
      <w:pPr>
        <w:pStyle w:val="Nadpis2"/>
        <w:numPr>
          <w:ilvl w:val="0"/>
          <w:numId w:val="10"/>
        </w:numPr>
      </w:pPr>
      <w:r>
        <w:t>Popis stávajícího prostředí</w:t>
      </w:r>
    </w:p>
    <w:p w14:paraId="723FA02D" w14:textId="77777777" w:rsidR="00C71D81" w:rsidRPr="00C71D81" w:rsidRDefault="00C71D81" w:rsidP="00C71D81"/>
    <w:p w14:paraId="02D8B95B" w14:textId="3009BE78" w:rsidR="005B6091" w:rsidRDefault="005B6091" w:rsidP="00705F5E">
      <w:pPr>
        <w:pStyle w:val="Nadpis3"/>
        <w:numPr>
          <w:ilvl w:val="1"/>
          <w:numId w:val="15"/>
        </w:numPr>
      </w:pPr>
      <w:r w:rsidRPr="005B6091">
        <w:t>Popis stávajícího HW prostředí </w:t>
      </w:r>
    </w:p>
    <w:p w14:paraId="02CB064C" w14:textId="77777777" w:rsidR="004B0CCB" w:rsidRPr="004B0CCB" w:rsidRDefault="004B0CCB" w:rsidP="004B0CCB"/>
    <w:p w14:paraId="657A5D1E" w14:textId="77777777" w:rsidR="00380495" w:rsidRDefault="005B6091" w:rsidP="00E21EE1">
      <w:pPr>
        <w:pStyle w:val="Odstavecseseznamem"/>
        <w:numPr>
          <w:ilvl w:val="0"/>
          <w:numId w:val="2"/>
        </w:numPr>
        <w:ind w:left="851" w:hanging="567"/>
      </w:pPr>
      <w:r w:rsidRPr="005B6091">
        <w:t xml:space="preserve">Technologické centrum Karlovarského kraje (dále jen „TCKK“) je technicky i provozně navrženo, vybudováno a provozováno pro poskytování vysoce dostupných infrastrukturních ICT služeb KÚKK a jeho zřizovaným organizacím. </w:t>
      </w:r>
    </w:p>
    <w:p w14:paraId="4F4B84A4" w14:textId="67A5FA25" w:rsidR="005B6091" w:rsidRPr="005B6091" w:rsidRDefault="005B6091" w:rsidP="00E21EE1">
      <w:pPr>
        <w:pStyle w:val="Odstavecseseznamem"/>
        <w:numPr>
          <w:ilvl w:val="0"/>
          <w:numId w:val="2"/>
        </w:numPr>
        <w:ind w:left="851" w:hanging="567"/>
      </w:pPr>
      <w:r w:rsidRPr="005B6091">
        <w:t xml:space="preserve">Technologické centrum je napojeno na RKI – WAN na bázi optických vláken propojující významné úřady v kraji (vesměs obce s rozšířenou působností) a některé zřizované organizace kraje. Přenosová kapacita RKI páteřních spojů je 1 </w:t>
      </w:r>
      <w:proofErr w:type="spellStart"/>
      <w:r w:rsidRPr="005B6091">
        <w:t>Gb</w:t>
      </w:r>
      <w:proofErr w:type="spellEnd"/>
      <w:r w:rsidRPr="005B6091">
        <w:t>/s. </w:t>
      </w:r>
    </w:p>
    <w:p w14:paraId="1F2C6458" w14:textId="77777777" w:rsidR="005B6091" w:rsidRPr="005B6091" w:rsidRDefault="005B6091" w:rsidP="00E21EE1">
      <w:pPr>
        <w:pStyle w:val="Odstavecseseznamem"/>
        <w:numPr>
          <w:ilvl w:val="0"/>
          <w:numId w:val="2"/>
        </w:numPr>
        <w:ind w:left="851" w:hanging="567"/>
      </w:pPr>
      <w:r w:rsidRPr="005B6091">
        <w:t xml:space="preserve">TCKK je tvořeno dvěma rovnocennými datovými centry a zálohovací technologie jsou umístěny v budovách A </w:t>
      </w:r>
      <w:proofErr w:type="spellStart"/>
      <w:r w:rsidRPr="005B6091">
        <w:t>a</w:t>
      </w:r>
      <w:proofErr w:type="spellEnd"/>
      <w:r w:rsidRPr="005B6091">
        <w:t xml:space="preserve"> B KÚKK. (A – VEEAM, </w:t>
      </w:r>
      <w:proofErr w:type="gramStart"/>
      <w:r w:rsidRPr="005B6091">
        <w:t>B - TSM</w:t>
      </w:r>
      <w:proofErr w:type="gramEnd"/>
      <w:r w:rsidRPr="005B6091">
        <w:t>). </w:t>
      </w:r>
    </w:p>
    <w:p w14:paraId="31629FB9" w14:textId="77777777" w:rsidR="00452F57" w:rsidRDefault="005B6091" w:rsidP="00E21EE1">
      <w:pPr>
        <w:pStyle w:val="Odstavecseseznamem"/>
        <w:numPr>
          <w:ilvl w:val="0"/>
          <w:numId w:val="2"/>
        </w:numPr>
        <w:ind w:left="851" w:hanging="567"/>
      </w:pPr>
      <w:r w:rsidRPr="005B6091">
        <w:t xml:space="preserve">Serverová infrastruktura prošla za poslední dva roky výraznou konsolidací hardware a aktuálně je tvořena třemi </w:t>
      </w:r>
      <w:proofErr w:type="spellStart"/>
      <w:r w:rsidRPr="005B6091">
        <w:t>Blade</w:t>
      </w:r>
      <w:proofErr w:type="spellEnd"/>
      <w:r w:rsidRPr="005B6091">
        <w:t xml:space="preserve"> šasi HP C7000 osazených celkem devatenácti kusy </w:t>
      </w:r>
      <w:proofErr w:type="spellStart"/>
      <w:r w:rsidRPr="005B6091">
        <w:t>Blade</w:t>
      </w:r>
      <w:proofErr w:type="spellEnd"/>
      <w:r w:rsidRPr="005B6091">
        <w:t xml:space="preserve"> serverů generace 6 až 10. </w:t>
      </w:r>
    </w:p>
    <w:p w14:paraId="1CCAEB2A" w14:textId="77777777" w:rsidR="006B471B" w:rsidRDefault="005B6091" w:rsidP="00E21EE1">
      <w:pPr>
        <w:pStyle w:val="Odstavecseseznamem"/>
        <w:numPr>
          <w:ilvl w:val="0"/>
          <w:numId w:val="2"/>
        </w:numPr>
        <w:ind w:left="851" w:hanging="567"/>
      </w:pPr>
      <w:r w:rsidRPr="005B6091">
        <w:t xml:space="preserve">Šasi jsou vybavena redundantními 8Gb FC SAN přepínači, redundantními 1 </w:t>
      </w:r>
      <w:proofErr w:type="spellStart"/>
      <w:r w:rsidRPr="005B6091">
        <w:t>GbE</w:t>
      </w:r>
      <w:proofErr w:type="spellEnd"/>
      <w:r w:rsidRPr="005B6091">
        <w:t xml:space="preserve"> </w:t>
      </w:r>
      <w:proofErr w:type="spellStart"/>
      <w:r w:rsidRPr="005B6091">
        <w:t>passtrought</w:t>
      </w:r>
      <w:proofErr w:type="spellEnd"/>
      <w:r w:rsidRPr="005B6091">
        <w:t xml:space="preserve"> moduly a redundantními </w:t>
      </w:r>
      <w:proofErr w:type="spellStart"/>
      <w:r w:rsidRPr="005B6091">
        <w:t>Virtual</w:t>
      </w:r>
      <w:proofErr w:type="spellEnd"/>
      <w:r w:rsidRPr="005B6091">
        <w:t xml:space="preserve"> </w:t>
      </w:r>
      <w:proofErr w:type="spellStart"/>
      <w:r w:rsidRPr="005B6091">
        <w:t>Connect</w:t>
      </w:r>
      <w:proofErr w:type="spellEnd"/>
      <w:r w:rsidRPr="005B6091">
        <w:t xml:space="preserve"> </w:t>
      </w:r>
      <w:proofErr w:type="spellStart"/>
      <w:r w:rsidRPr="005B6091">
        <w:t>Flex</w:t>
      </w:r>
      <w:proofErr w:type="spellEnd"/>
      <w:r w:rsidRPr="005B6091">
        <w:t xml:space="preserve"> 10Gb moduly. </w:t>
      </w:r>
    </w:p>
    <w:p w14:paraId="03F09753" w14:textId="77777777" w:rsidR="006B471B" w:rsidRDefault="005B6091" w:rsidP="00E21EE1">
      <w:pPr>
        <w:pStyle w:val="Odstavecseseznamem"/>
        <w:numPr>
          <w:ilvl w:val="0"/>
          <w:numId w:val="2"/>
        </w:numPr>
        <w:ind w:left="851" w:hanging="567"/>
      </w:pPr>
      <w:r w:rsidRPr="005B6091">
        <w:t xml:space="preserve">Osm </w:t>
      </w:r>
      <w:proofErr w:type="spellStart"/>
      <w:r w:rsidRPr="005B6091">
        <w:t>Blade</w:t>
      </w:r>
      <w:proofErr w:type="spellEnd"/>
      <w:r w:rsidRPr="005B6091">
        <w:t xml:space="preserve"> serverů generace 10 je virtualizováno technologiemi </w:t>
      </w:r>
      <w:proofErr w:type="spellStart"/>
      <w:r w:rsidRPr="005B6091">
        <w:t>VMware</w:t>
      </w:r>
      <w:proofErr w:type="spellEnd"/>
      <w:r w:rsidRPr="005B6091">
        <w:t xml:space="preserve"> </w:t>
      </w:r>
      <w:proofErr w:type="spellStart"/>
      <w:r w:rsidRPr="005B6091">
        <w:t>vSphere</w:t>
      </w:r>
      <w:proofErr w:type="spellEnd"/>
      <w:r w:rsidRPr="005B6091">
        <w:t xml:space="preserve"> </w:t>
      </w:r>
      <w:proofErr w:type="spellStart"/>
      <w:r w:rsidRPr="005B6091">
        <w:t>Enterprise</w:t>
      </w:r>
      <w:proofErr w:type="spellEnd"/>
      <w:r w:rsidRPr="005B6091">
        <w:t xml:space="preserve">. </w:t>
      </w:r>
    </w:p>
    <w:p w14:paraId="0ECBD8CF" w14:textId="77777777" w:rsidR="006B471B" w:rsidRDefault="005B6091" w:rsidP="00E21EE1">
      <w:pPr>
        <w:pStyle w:val="Odstavecseseznamem"/>
        <w:numPr>
          <w:ilvl w:val="0"/>
          <w:numId w:val="2"/>
        </w:numPr>
        <w:ind w:left="851" w:hanging="567"/>
      </w:pPr>
      <w:r w:rsidRPr="005B6091">
        <w:t xml:space="preserve">Všechny servery využívají k ukládání dat redundantní, replikované datové úložiště Dell EMC Unity 300 v režimu aktiv-pasiv. </w:t>
      </w:r>
    </w:p>
    <w:p w14:paraId="3EE26BBB" w14:textId="77777777" w:rsidR="006B471B" w:rsidRDefault="005B6091" w:rsidP="00E21EE1">
      <w:pPr>
        <w:pStyle w:val="Odstavecseseznamem"/>
        <w:numPr>
          <w:ilvl w:val="0"/>
          <w:numId w:val="2"/>
        </w:numPr>
        <w:ind w:left="851" w:hanging="567"/>
      </w:pPr>
      <w:r w:rsidRPr="005B6091">
        <w:t xml:space="preserve">Aktivní úložiště je v serverovně budovy B, pasivní v serverovně budovy A. </w:t>
      </w:r>
    </w:p>
    <w:p w14:paraId="68699D85" w14:textId="77777777" w:rsidR="006B471B" w:rsidRDefault="005B6091" w:rsidP="00E21EE1">
      <w:pPr>
        <w:pStyle w:val="Odstavecseseznamem"/>
        <w:numPr>
          <w:ilvl w:val="0"/>
          <w:numId w:val="2"/>
        </w:numPr>
        <w:ind w:left="851" w:hanging="567"/>
      </w:pPr>
      <w:r w:rsidRPr="005B6091">
        <w:t xml:space="preserve">Délka optických tras mezi lokalitami nepřesahuje 300 m. </w:t>
      </w:r>
    </w:p>
    <w:p w14:paraId="6FE75EFF" w14:textId="77777777" w:rsidR="006B471B" w:rsidRDefault="005B6091" w:rsidP="00E21EE1">
      <w:pPr>
        <w:pStyle w:val="Odstavecseseznamem"/>
        <w:numPr>
          <w:ilvl w:val="0"/>
          <w:numId w:val="2"/>
        </w:numPr>
        <w:ind w:left="851" w:hanging="567"/>
      </w:pPr>
      <w:r w:rsidRPr="005B6091">
        <w:t>Disková kapacita každého úložiště je: 91,6 TB RAW (</w:t>
      </w:r>
      <w:proofErr w:type="spellStart"/>
      <w:proofErr w:type="gramStart"/>
      <w:r w:rsidRPr="005B6091">
        <w:t>ExtremePerformanceTier</w:t>
      </w:r>
      <w:proofErr w:type="spellEnd"/>
      <w:r w:rsidRPr="005B6091">
        <w:t xml:space="preserve"> - SAS</w:t>
      </w:r>
      <w:proofErr w:type="gramEnd"/>
      <w:r w:rsidRPr="005B6091">
        <w:t xml:space="preserve"> FLASH, 5,7TB; </w:t>
      </w:r>
      <w:proofErr w:type="spellStart"/>
      <w:proofErr w:type="gramStart"/>
      <w:r w:rsidRPr="005B6091">
        <w:t>PerformanceTier</w:t>
      </w:r>
      <w:proofErr w:type="spellEnd"/>
      <w:r w:rsidRPr="005B6091">
        <w:t xml:space="preserve"> - SAS</w:t>
      </w:r>
      <w:proofErr w:type="gramEnd"/>
      <w:r w:rsidRPr="005B6091">
        <w:t xml:space="preserve"> 10k </w:t>
      </w:r>
      <w:proofErr w:type="spellStart"/>
      <w:r w:rsidRPr="005B6091">
        <w:t>rpm</w:t>
      </w:r>
      <w:proofErr w:type="spellEnd"/>
      <w:r w:rsidRPr="005B6091">
        <w:t xml:space="preserve"> HDD, 32,2TB; </w:t>
      </w:r>
      <w:proofErr w:type="spellStart"/>
      <w:proofErr w:type="gramStart"/>
      <w:r w:rsidRPr="005B6091">
        <w:t>CapacityTier</w:t>
      </w:r>
      <w:proofErr w:type="spellEnd"/>
      <w:r w:rsidRPr="005B6091">
        <w:t xml:space="preserve"> - SAS</w:t>
      </w:r>
      <w:proofErr w:type="gramEnd"/>
      <w:r w:rsidRPr="005B6091">
        <w:t xml:space="preserve"> NL 7200 </w:t>
      </w:r>
      <w:proofErr w:type="spellStart"/>
      <w:r w:rsidRPr="005B6091">
        <w:t>rpm</w:t>
      </w:r>
      <w:proofErr w:type="spellEnd"/>
      <w:r w:rsidRPr="005B6091">
        <w:t xml:space="preserve"> HDD, 53,7TB). </w:t>
      </w:r>
    </w:p>
    <w:p w14:paraId="61EF430F" w14:textId="77777777" w:rsidR="006B471B" w:rsidRDefault="005B6091" w:rsidP="00E21EE1">
      <w:pPr>
        <w:pStyle w:val="Odstavecseseznamem"/>
        <w:numPr>
          <w:ilvl w:val="0"/>
          <w:numId w:val="2"/>
        </w:numPr>
        <w:ind w:left="851" w:hanging="567"/>
      </w:pPr>
      <w:r w:rsidRPr="005B6091">
        <w:t xml:space="preserve">V lokalitě KÚKK v serverovně v budově A je umístěn řídící a úložný server HP DL380e G8 zálohovacího software </w:t>
      </w:r>
      <w:proofErr w:type="spellStart"/>
      <w:r w:rsidRPr="005B6091">
        <w:t>Veeam</w:t>
      </w:r>
      <w:proofErr w:type="spellEnd"/>
      <w:r w:rsidRPr="005B6091">
        <w:t xml:space="preserve"> </w:t>
      </w:r>
      <w:proofErr w:type="spellStart"/>
      <w:r w:rsidRPr="005B6091">
        <w:t>Backup</w:t>
      </w:r>
      <w:proofErr w:type="spellEnd"/>
      <w:r w:rsidRPr="005B6091">
        <w:t xml:space="preserve"> and </w:t>
      </w:r>
      <w:proofErr w:type="spellStart"/>
      <w:r w:rsidRPr="005B6091">
        <w:t>Replication</w:t>
      </w:r>
      <w:proofErr w:type="spellEnd"/>
      <w:r w:rsidRPr="005B6091">
        <w:t xml:space="preserve"> </w:t>
      </w:r>
      <w:proofErr w:type="spellStart"/>
      <w:r w:rsidRPr="005B6091">
        <w:t>Enterprise</w:t>
      </w:r>
      <w:proofErr w:type="spellEnd"/>
      <w:r w:rsidRPr="005B6091">
        <w:t xml:space="preserve"> </w:t>
      </w:r>
      <w:proofErr w:type="spellStart"/>
      <w:r w:rsidRPr="005B6091">
        <w:t>Edition</w:t>
      </w:r>
      <w:proofErr w:type="spellEnd"/>
      <w:r w:rsidRPr="005B6091">
        <w:t xml:space="preserve"> s vlastním lokálním úložištěm pro zálohy (primární úložiště) o kapacitě 120TB. </w:t>
      </w:r>
    </w:p>
    <w:p w14:paraId="05124982" w14:textId="1A3442B1" w:rsidR="005B6091" w:rsidRPr="005B6091" w:rsidRDefault="005B6091" w:rsidP="00E21EE1">
      <w:pPr>
        <w:pStyle w:val="Odstavecseseznamem"/>
        <w:numPr>
          <w:ilvl w:val="0"/>
          <w:numId w:val="2"/>
        </w:numPr>
        <w:ind w:left="851" w:hanging="567"/>
      </w:pPr>
      <w:r w:rsidRPr="005B6091">
        <w:t xml:space="preserve">Zálohy jsou denně kopírovány na sekundární úložiště o kapacitě 170TB a pásky </w:t>
      </w:r>
      <w:proofErr w:type="spellStart"/>
      <w:r w:rsidRPr="005B6091">
        <w:t>partition</w:t>
      </w:r>
      <w:proofErr w:type="spellEnd"/>
      <w:r w:rsidRPr="005B6091">
        <w:t xml:space="preserve"> 2 v knihovně </w:t>
      </w:r>
      <w:proofErr w:type="spellStart"/>
      <w:r w:rsidRPr="005B6091">
        <w:t>Overland</w:t>
      </w:r>
      <w:proofErr w:type="spellEnd"/>
      <w:r w:rsidRPr="005B6091">
        <w:t xml:space="preserve"> NEO8000 s 500 sloty na kazety a čtyřmi mechanikami LTO-5 (plně funkční už jsou jen dvě mechaniky). Tato knihovna též slouží pro dlouhodobé ukládání záloh. </w:t>
      </w:r>
      <w:proofErr w:type="spellStart"/>
      <w:r w:rsidRPr="005B6091">
        <w:t>Partition</w:t>
      </w:r>
      <w:proofErr w:type="spellEnd"/>
      <w:r w:rsidRPr="005B6091">
        <w:t xml:space="preserve"> 1 knihovny je využívána zálohovacím softwarem TSM (IBM </w:t>
      </w:r>
      <w:proofErr w:type="spellStart"/>
      <w:r w:rsidRPr="005B6091">
        <w:t>Spectrum</w:t>
      </w:r>
      <w:proofErr w:type="spellEnd"/>
      <w:r w:rsidRPr="005B6091">
        <w:t xml:space="preserve"> </w:t>
      </w:r>
      <w:proofErr w:type="spellStart"/>
      <w:r w:rsidRPr="005B6091">
        <w:t>Protect</w:t>
      </w:r>
      <w:proofErr w:type="spellEnd"/>
      <w:r w:rsidRPr="005B6091">
        <w:t xml:space="preserve">), </w:t>
      </w:r>
      <w:r w:rsidRPr="005B6091">
        <w:lastRenderedPageBreak/>
        <w:t>který je využíván k zálohování uživatelských souborů a souborů „datových skladů“, v plánu je však jeho postupné odstavení. Server TSM je umístěn v serverovně v budově B, knihovna taktéž. Knihovna je již na konci své plánované životnosti a je naplánována její náhrada novou páskovou knihovnou. </w:t>
      </w:r>
    </w:p>
    <w:p w14:paraId="22AE9A6B" w14:textId="77777777" w:rsidR="00316146" w:rsidRDefault="005B6091" w:rsidP="00E21EE1">
      <w:pPr>
        <w:pStyle w:val="Odstavecseseznamem"/>
        <w:numPr>
          <w:ilvl w:val="0"/>
          <w:numId w:val="2"/>
        </w:numPr>
        <w:ind w:left="851" w:hanging="567"/>
      </w:pPr>
      <w:r w:rsidRPr="005B6091">
        <w:t xml:space="preserve">Síťová vrstva TC je redundantní a využívá síťové prvky </w:t>
      </w:r>
      <w:proofErr w:type="spellStart"/>
      <w:r w:rsidRPr="005B6091">
        <w:t>Juniper</w:t>
      </w:r>
      <w:proofErr w:type="spellEnd"/>
      <w:r w:rsidRPr="005B6091">
        <w:t xml:space="preserve"> EX4500, EX4200 (síťové přepínače) a SRX3400 (firewally) a je také virtualizována. Síťové přepínače EX4500 a EX4200 jsou nakonfigurovány jako tzv. virtuální šasi a propojeny 10 </w:t>
      </w:r>
      <w:proofErr w:type="spellStart"/>
      <w:r w:rsidRPr="005B6091">
        <w:t>Gbps</w:t>
      </w:r>
      <w:proofErr w:type="spellEnd"/>
      <w:r w:rsidRPr="005B6091">
        <w:t xml:space="preserve"> spoji v rámci lokalit i mezi lokalitami. </w:t>
      </w:r>
    </w:p>
    <w:p w14:paraId="299AA2EC" w14:textId="16179B54" w:rsidR="005B6091" w:rsidRPr="005B6091" w:rsidRDefault="005B6091" w:rsidP="00E21EE1">
      <w:pPr>
        <w:pStyle w:val="Odstavecseseznamem"/>
        <w:numPr>
          <w:ilvl w:val="0"/>
          <w:numId w:val="2"/>
        </w:numPr>
        <w:ind w:left="851" w:hanging="567"/>
      </w:pPr>
      <w:r w:rsidRPr="005B6091">
        <w:t xml:space="preserve">TC je do RKI připojeno prostřednictvím redundantních centrálních prvků HP A7506. Distribuční a přístupová vrstva síťové infrastruktury využívá síťové prvky </w:t>
      </w:r>
      <w:proofErr w:type="spellStart"/>
      <w:r w:rsidRPr="005B6091">
        <w:t>Juniper</w:t>
      </w:r>
      <w:proofErr w:type="spellEnd"/>
      <w:r w:rsidRPr="005B6091">
        <w:t xml:space="preserve">, pro bezdrátovou komunikaci jsou využívány prvky </w:t>
      </w:r>
      <w:proofErr w:type="spellStart"/>
      <w:r w:rsidRPr="005B6091">
        <w:t>Extreme</w:t>
      </w:r>
      <w:proofErr w:type="spellEnd"/>
      <w:r w:rsidRPr="005B6091">
        <w:t xml:space="preserve"> Network. </w:t>
      </w:r>
    </w:p>
    <w:p w14:paraId="2C68EF08" w14:textId="5FC5DEBD" w:rsidR="005B6091" w:rsidRPr="005B6091" w:rsidRDefault="005B6091" w:rsidP="00E21EE1">
      <w:pPr>
        <w:pStyle w:val="Odstavecseseznamem"/>
        <w:numPr>
          <w:ilvl w:val="0"/>
          <w:numId w:val="2"/>
        </w:numPr>
        <w:ind w:left="851" w:hanging="567"/>
      </w:pPr>
      <w:r w:rsidRPr="005B6091">
        <w:t>Obě lokality jsou vybaveny motorgenerátory, překlenutí doby jejich náběhu a krátkodobých výpadků zajištují UPS EATON 9355. (serverovna v budově B má UPS EATON 9355, serverovna v budově A má UPS GE LP 10-11, v plánu je přestěhování příliš nevyužité UPS EATON 9355 z KKN do serv</w:t>
      </w:r>
      <w:r w:rsidR="001375F1">
        <w:t>e</w:t>
      </w:r>
      <w:r w:rsidRPr="005B6091">
        <w:t xml:space="preserve">rovny v budově A </w:t>
      </w:r>
      <w:proofErr w:type="spellStart"/>
      <w:r w:rsidRPr="005B6091">
        <w:t>a</w:t>
      </w:r>
      <w:proofErr w:type="spellEnd"/>
      <w:r w:rsidRPr="005B6091">
        <w:t xml:space="preserve"> nahrazení UPS GE). </w:t>
      </w:r>
    </w:p>
    <w:p w14:paraId="50A6E1B1" w14:textId="77777777" w:rsidR="005B6091" w:rsidRDefault="005B6091" w:rsidP="00E21EE1">
      <w:pPr>
        <w:pStyle w:val="Odstavecseseznamem"/>
        <w:numPr>
          <w:ilvl w:val="0"/>
          <w:numId w:val="2"/>
        </w:numPr>
        <w:ind w:left="851" w:hanging="567"/>
      </w:pPr>
      <w:r w:rsidRPr="005B6091">
        <w:t xml:space="preserve">Datová centra jsou dále vybavena klimatizacemi, zhášecím systémem, IP kamerami a </w:t>
      </w:r>
      <w:proofErr w:type="spellStart"/>
      <w:r w:rsidRPr="005B6091">
        <w:t>Rack</w:t>
      </w:r>
      <w:proofErr w:type="spellEnd"/>
      <w:r w:rsidRPr="005B6091">
        <w:t xml:space="preserve"> management systémem (dále RMS) s kouřovými, pohybovým a vlhkostními čidly s možností zasílání varování přes SMS. Karlovarský kraj má zajištěn hardwarový servis (opravy, aktualizace firmware) většiny provozovaných technologií s výjimkou páskové knihovny </w:t>
      </w:r>
      <w:proofErr w:type="spellStart"/>
      <w:r w:rsidRPr="005B6091">
        <w:t>Overland</w:t>
      </w:r>
      <w:proofErr w:type="spellEnd"/>
      <w:r w:rsidRPr="005B6091">
        <w:t>. </w:t>
      </w:r>
    </w:p>
    <w:p w14:paraId="024822DC" w14:textId="77777777" w:rsidR="001375F1" w:rsidRPr="005B6091" w:rsidRDefault="001375F1" w:rsidP="005B6091"/>
    <w:p w14:paraId="2D2D30B3" w14:textId="07430CBE" w:rsidR="005B6091" w:rsidRDefault="005B6091" w:rsidP="00705F5E">
      <w:pPr>
        <w:pStyle w:val="Nadpis3"/>
        <w:numPr>
          <w:ilvl w:val="1"/>
          <w:numId w:val="15"/>
        </w:numPr>
      </w:pPr>
      <w:r w:rsidRPr="005B6091">
        <w:t>Popis stávajícího SW prostředí </w:t>
      </w:r>
    </w:p>
    <w:p w14:paraId="78A5EC30" w14:textId="77777777" w:rsidR="00CD19E6" w:rsidRPr="005B6091" w:rsidRDefault="00CD19E6" w:rsidP="00CD19E6"/>
    <w:p w14:paraId="39B1FDFF" w14:textId="77777777" w:rsidR="005B6091" w:rsidRPr="005B6091" w:rsidRDefault="005B6091" w:rsidP="00E21EE1">
      <w:pPr>
        <w:pStyle w:val="Odstavecseseznamem"/>
        <w:numPr>
          <w:ilvl w:val="0"/>
          <w:numId w:val="3"/>
        </w:numPr>
        <w:ind w:left="851" w:hanging="567"/>
      </w:pPr>
      <w:r w:rsidRPr="005B6091">
        <w:t>Systémové služby jsou provozovány na platformě Microsoft, jde zejména o následující systémy: </w:t>
      </w:r>
    </w:p>
    <w:p w14:paraId="7C69F799" w14:textId="2AB8E706" w:rsidR="005B6091" w:rsidRPr="005B6091" w:rsidRDefault="005B6091" w:rsidP="00E21EE1">
      <w:pPr>
        <w:pStyle w:val="Odstavecseseznamem"/>
        <w:numPr>
          <w:ilvl w:val="0"/>
          <w:numId w:val="4"/>
        </w:numPr>
      </w:pPr>
      <w:r w:rsidRPr="005B6091">
        <w:t>Microsoft Windows Server Datacenter a Standard </w:t>
      </w:r>
    </w:p>
    <w:p w14:paraId="084CB23B" w14:textId="2E085A09" w:rsidR="005B6091" w:rsidRPr="005B6091" w:rsidRDefault="005B6091" w:rsidP="00E21EE1">
      <w:pPr>
        <w:pStyle w:val="Odstavecseseznamem"/>
        <w:numPr>
          <w:ilvl w:val="0"/>
          <w:numId w:val="4"/>
        </w:numPr>
      </w:pPr>
      <w:r w:rsidRPr="005B6091">
        <w:t xml:space="preserve">Microsoft SQL </w:t>
      </w:r>
      <w:r w:rsidRPr="00AE0088">
        <w:rPr>
          <w:u w:val="single"/>
        </w:rPr>
        <w:t>20</w:t>
      </w:r>
      <w:r w:rsidR="00ED5B02">
        <w:rPr>
          <w:u w:val="single"/>
        </w:rPr>
        <w:t>22</w:t>
      </w:r>
      <w:r w:rsidRPr="00AE0088">
        <w:rPr>
          <w:u w:val="single"/>
        </w:rPr>
        <w:t xml:space="preserve"> </w:t>
      </w:r>
      <w:r w:rsidRPr="005B6091">
        <w:t>Standard (CLUSTER) </w:t>
      </w:r>
    </w:p>
    <w:p w14:paraId="015E287A" w14:textId="74C22B3D" w:rsidR="005B6091" w:rsidRPr="005B6091" w:rsidRDefault="005B6091" w:rsidP="00E21EE1">
      <w:pPr>
        <w:pStyle w:val="Odstavecseseznamem"/>
        <w:numPr>
          <w:ilvl w:val="0"/>
          <w:numId w:val="4"/>
        </w:numPr>
      </w:pPr>
      <w:r w:rsidRPr="005B6091">
        <w:t>Microsoft Exchange Standard </w:t>
      </w:r>
    </w:p>
    <w:p w14:paraId="144375CA" w14:textId="77777777" w:rsidR="005B6091" w:rsidRPr="005B6091" w:rsidRDefault="005B6091" w:rsidP="00E21EE1">
      <w:pPr>
        <w:pStyle w:val="Odstavecseseznamem"/>
        <w:numPr>
          <w:ilvl w:val="0"/>
          <w:numId w:val="3"/>
        </w:numPr>
        <w:ind w:left="851" w:hanging="567"/>
      </w:pPr>
      <w:r w:rsidRPr="005B6091">
        <w:t>Verze systémů Microsoft jsou průběžně aktualizovány v konzervativním režimu, tj. jsou udržovány cca. 1-2 verze za aktuální verzí. </w:t>
      </w:r>
    </w:p>
    <w:p w14:paraId="7B0A72F7" w14:textId="77777777" w:rsidR="005B6091" w:rsidRPr="005B6091" w:rsidRDefault="005B6091" w:rsidP="00E21EE1">
      <w:pPr>
        <w:pStyle w:val="Odstavecseseznamem"/>
        <w:numPr>
          <w:ilvl w:val="0"/>
          <w:numId w:val="3"/>
        </w:numPr>
        <w:ind w:left="851" w:hanging="567"/>
      </w:pPr>
      <w:r w:rsidRPr="005B6091">
        <w:t xml:space="preserve">Pro doručování aplikací uživatelům jsou využívány technologie Microsoft </w:t>
      </w:r>
      <w:proofErr w:type="spellStart"/>
      <w:r w:rsidRPr="005B6091">
        <w:t>Remote</w:t>
      </w:r>
      <w:proofErr w:type="spellEnd"/>
      <w:r w:rsidRPr="005B6091">
        <w:t xml:space="preserve"> Desktop </w:t>
      </w:r>
      <w:proofErr w:type="spellStart"/>
      <w:r w:rsidRPr="005B6091">
        <w:t>Service</w:t>
      </w:r>
      <w:proofErr w:type="spellEnd"/>
      <w:r w:rsidRPr="005B6091">
        <w:t xml:space="preserve"> (v rámci LAN úřadu) a Primární adresářovou službou je </w:t>
      </w:r>
      <w:proofErr w:type="spellStart"/>
      <w:r w:rsidRPr="005B6091">
        <w:t>Active</w:t>
      </w:r>
      <w:proofErr w:type="spellEnd"/>
      <w:r w:rsidRPr="005B6091">
        <w:t xml:space="preserve"> </w:t>
      </w:r>
      <w:proofErr w:type="spellStart"/>
      <w:r w:rsidRPr="005B6091">
        <w:t>Directory</w:t>
      </w:r>
      <w:proofErr w:type="spellEnd"/>
      <w:r w:rsidRPr="005B6091">
        <w:t xml:space="preserve"> provozovaná na redundantních replikovaných řadičích, které zajištují také služby DNS a DHCP. </w:t>
      </w:r>
    </w:p>
    <w:p w14:paraId="5AE955FE" w14:textId="77777777" w:rsidR="005B6091" w:rsidRPr="005B6091" w:rsidRDefault="005B6091" w:rsidP="00E21EE1">
      <w:pPr>
        <w:pStyle w:val="Odstavecseseznamem"/>
        <w:numPr>
          <w:ilvl w:val="0"/>
          <w:numId w:val="3"/>
        </w:numPr>
        <w:ind w:left="851" w:hanging="567"/>
      </w:pPr>
      <w:r w:rsidRPr="005B6091">
        <w:t xml:space="preserve">K ukládání sdílených souborů je kromě prostředků Windows serveru využívána NAS funkcionalita (aktuálně pouze protokol CIFS) diskového pole Dell EMC Unity 300. Virtualizační platformou TCKK je </w:t>
      </w:r>
      <w:proofErr w:type="spellStart"/>
      <w:r w:rsidRPr="005B6091">
        <w:t>Vmware</w:t>
      </w:r>
      <w:proofErr w:type="spellEnd"/>
      <w:r w:rsidRPr="005B6091">
        <w:t xml:space="preserve"> </w:t>
      </w:r>
      <w:proofErr w:type="spellStart"/>
      <w:r w:rsidRPr="005B6091">
        <w:t>vSphere</w:t>
      </w:r>
      <w:proofErr w:type="spellEnd"/>
      <w:r w:rsidRPr="005B6091">
        <w:t xml:space="preserve"> </w:t>
      </w:r>
      <w:proofErr w:type="spellStart"/>
      <w:r w:rsidRPr="005B6091">
        <w:t>Enterprise</w:t>
      </w:r>
      <w:proofErr w:type="spellEnd"/>
      <w:r w:rsidRPr="005B6091">
        <w:t xml:space="preserve"> řízená jedním </w:t>
      </w:r>
      <w:proofErr w:type="spellStart"/>
      <w:r w:rsidRPr="005B6091">
        <w:t>vCentrem</w:t>
      </w:r>
      <w:proofErr w:type="spellEnd"/>
      <w:r w:rsidRPr="005B6091">
        <w:t xml:space="preserve">. Jsou implementovány a využívány pokročilé funkce </w:t>
      </w:r>
      <w:proofErr w:type="spellStart"/>
      <w:r w:rsidRPr="005B6091">
        <w:t>vSphere</w:t>
      </w:r>
      <w:proofErr w:type="spellEnd"/>
      <w:r w:rsidRPr="005B6091">
        <w:t xml:space="preserve"> – </w:t>
      </w:r>
      <w:proofErr w:type="spellStart"/>
      <w:r w:rsidRPr="005B6091">
        <w:t>High</w:t>
      </w:r>
      <w:proofErr w:type="spellEnd"/>
      <w:r w:rsidRPr="005B6091">
        <w:t xml:space="preserve"> </w:t>
      </w:r>
      <w:proofErr w:type="spellStart"/>
      <w:r w:rsidRPr="005B6091">
        <w:t>availability</w:t>
      </w:r>
      <w:proofErr w:type="spellEnd"/>
      <w:r w:rsidRPr="005B6091">
        <w:t xml:space="preserve">, </w:t>
      </w:r>
      <w:proofErr w:type="spellStart"/>
      <w:r w:rsidRPr="005B6091">
        <w:t>Dynamic</w:t>
      </w:r>
      <w:proofErr w:type="spellEnd"/>
      <w:r w:rsidRPr="005B6091">
        <w:t xml:space="preserve"> </w:t>
      </w:r>
      <w:proofErr w:type="spellStart"/>
      <w:r w:rsidRPr="005B6091">
        <w:t>Resource</w:t>
      </w:r>
      <w:proofErr w:type="spellEnd"/>
      <w:r w:rsidRPr="005B6091">
        <w:t xml:space="preserve"> Scheduler, </w:t>
      </w:r>
      <w:proofErr w:type="spellStart"/>
      <w:r w:rsidRPr="005B6091">
        <w:t>vMotion</w:t>
      </w:r>
      <w:proofErr w:type="spellEnd"/>
      <w:r w:rsidRPr="005B6091">
        <w:t>, virtuální switche apod. </w:t>
      </w:r>
    </w:p>
    <w:p w14:paraId="4494D4DA" w14:textId="77777777" w:rsidR="005B6091" w:rsidRPr="005B6091" w:rsidRDefault="005B6091" w:rsidP="00E21EE1">
      <w:pPr>
        <w:pStyle w:val="Odstavecseseznamem"/>
        <w:numPr>
          <w:ilvl w:val="0"/>
          <w:numId w:val="3"/>
        </w:numPr>
        <w:ind w:left="851" w:hanging="567"/>
      </w:pPr>
      <w:r w:rsidRPr="005B6091">
        <w:t xml:space="preserve">Karlovarský kraj má uzavřenu licenční smlouvu MS </w:t>
      </w:r>
      <w:proofErr w:type="spellStart"/>
      <w:r w:rsidRPr="005B6091">
        <w:t>Enterprise</w:t>
      </w:r>
      <w:proofErr w:type="spellEnd"/>
      <w:r w:rsidRPr="005B6091">
        <w:t xml:space="preserve"> </w:t>
      </w:r>
      <w:proofErr w:type="spellStart"/>
      <w:r w:rsidRPr="005B6091">
        <w:t>Agreement</w:t>
      </w:r>
      <w:proofErr w:type="spellEnd"/>
      <w:r w:rsidRPr="005B6091">
        <w:t>, ze které využívá licence produktů MS Office</w:t>
      </w:r>
      <w:r w:rsidRPr="00EB3C74">
        <w:t xml:space="preserve"> 365, Microsoft 365</w:t>
      </w:r>
      <w:r w:rsidRPr="005B6091">
        <w:t>, MS SQL, MS SharePoint, MS Exchange, MS Windows Server. Tato smlouva umožňuje na základě práva na nové verze provádět upgrade systémů. </w:t>
      </w:r>
    </w:p>
    <w:p w14:paraId="120AC9A9" w14:textId="77777777" w:rsidR="00963EA5" w:rsidRDefault="005B6091" w:rsidP="00E21EE1">
      <w:pPr>
        <w:pStyle w:val="Odstavecseseznamem"/>
        <w:numPr>
          <w:ilvl w:val="0"/>
          <w:numId w:val="3"/>
        </w:numPr>
        <w:ind w:left="851" w:hanging="567"/>
      </w:pPr>
      <w:r w:rsidRPr="005B6091">
        <w:t xml:space="preserve">Karlovarský kraj dále udržuje platné </w:t>
      </w:r>
      <w:proofErr w:type="spellStart"/>
      <w:r w:rsidRPr="005B6091">
        <w:t>maintenance</w:t>
      </w:r>
      <w:proofErr w:type="spellEnd"/>
      <w:r w:rsidRPr="005B6091">
        <w:t xml:space="preserve"> klíčových produktů – </w:t>
      </w:r>
      <w:proofErr w:type="spellStart"/>
      <w:r w:rsidRPr="005B6091">
        <w:t>VMware</w:t>
      </w:r>
      <w:proofErr w:type="spellEnd"/>
      <w:r w:rsidRPr="005B6091">
        <w:t xml:space="preserve"> </w:t>
      </w:r>
      <w:proofErr w:type="spellStart"/>
      <w:r w:rsidRPr="005B6091">
        <w:t>vSphere</w:t>
      </w:r>
      <w:proofErr w:type="spellEnd"/>
      <w:r w:rsidRPr="005B6091">
        <w:t xml:space="preserve">, </w:t>
      </w:r>
      <w:proofErr w:type="spellStart"/>
      <w:r w:rsidRPr="005B6091">
        <w:t>Veeam</w:t>
      </w:r>
      <w:proofErr w:type="spellEnd"/>
      <w:r w:rsidRPr="005B6091">
        <w:t xml:space="preserve"> </w:t>
      </w:r>
      <w:proofErr w:type="spellStart"/>
      <w:r w:rsidRPr="005B6091">
        <w:t>Backup</w:t>
      </w:r>
      <w:proofErr w:type="spellEnd"/>
      <w:r w:rsidRPr="005B6091">
        <w:t xml:space="preserve"> &amp; </w:t>
      </w:r>
      <w:proofErr w:type="spellStart"/>
      <w:r w:rsidRPr="005B6091">
        <w:t>Replication</w:t>
      </w:r>
      <w:proofErr w:type="spellEnd"/>
      <w:r w:rsidRPr="005B6091">
        <w:t>, TSM. </w:t>
      </w:r>
    </w:p>
    <w:p w14:paraId="2401356E" w14:textId="772CF047" w:rsidR="005B6091" w:rsidRDefault="005B6091" w:rsidP="00705F5E">
      <w:pPr>
        <w:pStyle w:val="Nadpis3"/>
        <w:numPr>
          <w:ilvl w:val="1"/>
          <w:numId w:val="15"/>
        </w:numPr>
      </w:pPr>
      <w:r w:rsidRPr="005B6091">
        <w:lastRenderedPageBreak/>
        <w:t>Popis dokumentace </w:t>
      </w:r>
    </w:p>
    <w:p w14:paraId="3A38CC8C" w14:textId="77777777" w:rsidR="00CD19E6" w:rsidRPr="005B6091" w:rsidRDefault="00CD19E6" w:rsidP="00CD19E6"/>
    <w:p w14:paraId="5D6B9586" w14:textId="77777777" w:rsidR="005B6091" w:rsidRPr="005B6091" w:rsidRDefault="005B6091" w:rsidP="00E21EE1">
      <w:pPr>
        <w:pStyle w:val="Odstavecseseznamem"/>
        <w:numPr>
          <w:ilvl w:val="0"/>
          <w:numId w:val="13"/>
        </w:numPr>
        <w:ind w:left="851" w:hanging="567"/>
      </w:pPr>
      <w:r w:rsidRPr="005B6091">
        <w:t>K provozování a řízení rozvoje informačních systémů je využívána a udržována Provozní dokumentace.  </w:t>
      </w:r>
    </w:p>
    <w:p w14:paraId="03542A59" w14:textId="77777777" w:rsidR="005B6091" w:rsidRPr="005B6091" w:rsidRDefault="005B6091" w:rsidP="00E21EE1">
      <w:pPr>
        <w:pStyle w:val="Odstavecseseznamem"/>
        <w:numPr>
          <w:ilvl w:val="0"/>
          <w:numId w:val="13"/>
        </w:numPr>
        <w:ind w:left="851" w:hanging="567"/>
      </w:pPr>
      <w:r w:rsidRPr="005B6091">
        <w:t>Provozní dokumentace popisuje základní nastavení technologií, hardwarových  </w:t>
      </w:r>
      <w:r w:rsidRPr="005B6091">
        <w:br/>
        <w:t>a softwarových systémů a je tvořena souborem dokumentací zpracovaných v průběhu realizovaných implementačních ICT projektů. </w:t>
      </w:r>
    </w:p>
    <w:p w14:paraId="4EE944B0" w14:textId="77777777" w:rsidR="005B6091" w:rsidRPr="005B6091" w:rsidRDefault="005B6091" w:rsidP="00E21EE1">
      <w:pPr>
        <w:pStyle w:val="Odstavecseseznamem"/>
        <w:numPr>
          <w:ilvl w:val="0"/>
          <w:numId w:val="13"/>
        </w:numPr>
        <w:ind w:left="851" w:hanging="567"/>
      </w:pPr>
      <w:r w:rsidRPr="005B6091">
        <w:t>Citlivé údaje (přístupové účty apod.) jsou uloženy odděleně od Provozních dokumentací. </w:t>
      </w:r>
    </w:p>
    <w:p w14:paraId="65FD0228" w14:textId="77777777" w:rsidR="005B6091" w:rsidRDefault="005B6091" w:rsidP="00E21EE1">
      <w:pPr>
        <w:pStyle w:val="Odstavecseseznamem"/>
        <w:numPr>
          <w:ilvl w:val="0"/>
          <w:numId w:val="13"/>
        </w:numPr>
        <w:ind w:left="851" w:hanging="567"/>
      </w:pPr>
      <w:r w:rsidRPr="005B6091">
        <w:t>Uchazeč je povinen v rámci zakázky zajistit nezbytné doplnění Provozní dokumentace reflektující provedené změny. Relevantní části Provozní dokumentace budou Zadavateli zpřístupněny před zahájením realizace předmětu plnění. </w:t>
      </w:r>
    </w:p>
    <w:p w14:paraId="206D672F" w14:textId="77777777" w:rsidR="0034121C" w:rsidRPr="00DF5B8C" w:rsidRDefault="0034121C" w:rsidP="0034121C">
      <w:pPr>
        <w:pStyle w:val="Odstavecseseznamem"/>
        <w:ind w:left="851"/>
        <w:rPr>
          <w:highlight w:val="yellow"/>
        </w:rPr>
      </w:pPr>
    </w:p>
    <w:p w14:paraId="3648B0CB" w14:textId="77777777" w:rsidR="005B6091" w:rsidRDefault="005B6091" w:rsidP="00705F5E">
      <w:pPr>
        <w:pStyle w:val="Nadpis3"/>
        <w:numPr>
          <w:ilvl w:val="1"/>
          <w:numId w:val="15"/>
        </w:numPr>
      </w:pPr>
      <w:r w:rsidRPr="005B6091">
        <w:t>Popis způsobu řešení incidentů </w:t>
      </w:r>
    </w:p>
    <w:p w14:paraId="6848065F" w14:textId="77777777" w:rsidR="00CD19E6" w:rsidRPr="005B6091" w:rsidRDefault="00CD19E6" w:rsidP="00CD19E6"/>
    <w:p w14:paraId="1DB323AE" w14:textId="6AFF4064" w:rsidR="005B6091" w:rsidRPr="005B6091" w:rsidRDefault="005B6091" w:rsidP="00E21EE1">
      <w:pPr>
        <w:numPr>
          <w:ilvl w:val="0"/>
          <w:numId w:val="5"/>
        </w:numPr>
        <w:ind w:left="851" w:hanging="567"/>
      </w:pPr>
      <w:r w:rsidRPr="005B6091">
        <w:t xml:space="preserve">Zadavatel pro řešení incidentů a podporu uživatelů využívá vlastní systém </w:t>
      </w:r>
      <w:r w:rsidR="00E17613" w:rsidRPr="005B6091">
        <w:t>Helpdesk</w:t>
      </w:r>
      <w:r w:rsidR="00E17613" w:rsidRPr="005B6091">
        <w:rPr>
          <w:u w:val="single"/>
        </w:rPr>
        <w:t xml:space="preserve"> ServiceDesk</w:t>
      </w:r>
      <w:r w:rsidR="008D1D5B">
        <w:t xml:space="preserve">, </w:t>
      </w:r>
      <w:r w:rsidRPr="005B6091">
        <w:rPr>
          <w:u w:val="single"/>
        </w:rPr>
        <w:t>který je možné využit i pro externí řešitele.</w:t>
      </w:r>
      <w:r w:rsidRPr="005B6091">
        <w:t> </w:t>
      </w:r>
    </w:p>
    <w:p w14:paraId="7C6C8C12" w14:textId="77777777" w:rsidR="005B6091" w:rsidRPr="005B6091" w:rsidRDefault="005B6091" w:rsidP="00E21EE1">
      <w:pPr>
        <w:numPr>
          <w:ilvl w:val="0"/>
          <w:numId w:val="5"/>
        </w:numPr>
        <w:ind w:left="851" w:hanging="567"/>
      </w:pPr>
      <w:r w:rsidRPr="005B6091">
        <w:t>Zadavatel zajišťuje podporu 1. úrovně a většinu běžných problémů jsou schopni vyřešit interní pracovníci Zadavatele. </w:t>
      </w:r>
    </w:p>
    <w:p w14:paraId="127625ED" w14:textId="73604D2B" w:rsidR="00DA4813" w:rsidRPr="005B6091" w:rsidRDefault="005B6091" w:rsidP="00DA4813">
      <w:pPr>
        <w:numPr>
          <w:ilvl w:val="0"/>
          <w:numId w:val="5"/>
        </w:numPr>
        <w:ind w:left="851" w:hanging="567"/>
      </w:pPr>
      <w:r w:rsidRPr="005B6091">
        <w:t xml:space="preserve">Incidenty a požadavky, které nevyřeší interní specialisté, jsou zadávány do </w:t>
      </w:r>
      <w:proofErr w:type="spellStart"/>
      <w:r w:rsidRPr="005B6091">
        <w:t>helpdeskových</w:t>
      </w:r>
      <w:proofErr w:type="spellEnd"/>
      <w:r w:rsidRPr="005B6091">
        <w:t xml:space="preserve"> systémů dodavatele systému, který vykazuje incident nebo na který směřuje požadavek uživatele. Hlášení incidentů a požadavků je prováděno telefonicky, e-mailem nebo přímo zadáním ticketu/požadavku do </w:t>
      </w:r>
      <w:proofErr w:type="spellStart"/>
      <w:r w:rsidRPr="005B6091">
        <w:t>helpdeskového</w:t>
      </w:r>
      <w:proofErr w:type="spellEnd"/>
      <w:r w:rsidRPr="005B6091">
        <w:t xml:space="preserve"> systému dodavatele. </w:t>
      </w:r>
      <w:r w:rsidR="00DA4813">
        <w:br/>
      </w:r>
    </w:p>
    <w:p w14:paraId="0AED9739" w14:textId="77777777" w:rsidR="005B6091" w:rsidRDefault="005B6091" w:rsidP="00705F5E">
      <w:pPr>
        <w:pStyle w:val="Nadpis3"/>
        <w:numPr>
          <w:ilvl w:val="1"/>
          <w:numId w:val="15"/>
        </w:numPr>
      </w:pPr>
      <w:r w:rsidRPr="005B6091">
        <w:t>Popis servisních oken </w:t>
      </w:r>
    </w:p>
    <w:p w14:paraId="09D4D515" w14:textId="77777777" w:rsidR="00CD19E6" w:rsidRPr="005B6091" w:rsidRDefault="00CD19E6" w:rsidP="00CD19E6"/>
    <w:p w14:paraId="57CF16C9" w14:textId="77777777" w:rsidR="005B6091" w:rsidRPr="005B6091" w:rsidRDefault="005B6091" w:rsidP="00E21EE1">
      <w:pPr>
        <w:numPr>
          <w:ilvl w:val="0"/>
          <w:numId w:val="6"/>
        </w:numPr>
        <w:ind w:left="851" w:hanging="567"/>
      </w:pPr>
      <w:r w:rsidRPr="005B6091">
        <w:t>Zadavatel nemá pevně definovaná pravidelná servisní okna. Pravidlem je servis provádět mimo pracovní dobu.  </w:t>
      </w:r>
    </w:p>
    <w:p w14:paraId="3EA9F5E3" w14:textId="77777777" w:rsidR="005B6091" w:rsidRDefault="005B6091" w:rsidP="00E21EE1">
      <w:pPr>
        <w:numPr>
          <w:ilvl w:val="0"/>
          <w:numId w:val="6"/>
        </w:numPr>
        <w:ind w:left="851" w:hanging="567"/>
      </w:pPr>
      <w:r w:rsidRPr="005B6091">
        <w:t>Aplikace aktualizací a oprav informačních systému provádějí specialisté Zadavatele dle potřeby a s přihlédnutím k minimalizaci omezení uživatelů. </w:t>
      </w:r>
    </w:p>
    <w:p w14:paraId="27D05D3C" w14:textId="77777777" w:rsidR="005B6091" w:rsidRPr="005B6091" w:rsidRDefault="005B6091" w:rsidP="005B6091"/>
    <w:p w14:paraId="3A26D45E" w14:textId="77777777" w:rsidR="0083231E" w:rsidRDefault="0083231E"/>
    <w:p w14:paraId="7E602DF9" w14:textId="04715038" w:rsidR="006B558A" w:rsidRDefault="006B558A" w:rsidP="00705F5E">
      <w:pPr>
        <w:pStyle w:val="Nadpis2"/>
        <w:numPr>
          <w:ilvl w:val="0"/>
          <w:numId w:val="15"/>
        </w:numPr>
      </w:pPr>
      <w:r>
        <w:t xml:space="preserve">Popis stávajícího </w:t>
      </w:r>
      <w:r w:rsidR="00A674BA">
        <w:t xml:space="preserve">stavu </w:t>
      </w:r>
    </w:p>
    <w:p w14:paraId="16DDE599" w14:textId="4728C950" w:rsidR="00F93E73" w:rsidRDefault="00A37C97" w:rsidP="00705F5E">
      <w:pPr>
        <w:pStyle w:val="Nadpis3"/>
        <w:numPr>
          <w:ilvl w:val="1"/>
          <w:numId w:val="15"/>
        </w:numPr>
      </w:pPr>
      <w:r>
        <w:t xml:space="preserve"> Popis aktuálních technologií</w:t>
      </w:r>
    </w:p>
    <w:p w14:paraId="136FD518" w14:textId="77777777" w:rsidR="00A37C97" w:rsidRPr="00F93E73" w:rsidRDefault="00A37C97" w:rsidP="00A37C97">
      <w:pPr>
        <w:pStyle w:val="Odstavecseseznamem"/>
      </w:pPr>
    </w:p>
    <w:p w14:paraId="266EA089" w14:textId="77777777" w:rsidR="00F93E73" w:rsidRDefault="00F93E73" w:rsidP="00705F5E">
      <w:pPr>
        <w:pStyle w:val="Odstavecseseznamem"/>
        <w:numPr>
          <w:ilvl w:val="0"/>
          <w:numId w:val="30"/>
        </w:numPr>
        <w:ind w:left="851" w:hanging="567"/>
      </w:pPr>
      <w:r>
        <w:t xml:space="preserve">Karlovarský kraj, zřizovatel příspěvkových organizací, zřizovatel, resp. Krajský úřad využívá jako ekonomický </w:t>
      </w:r>
      <w:proofErr w:type="gramStart"/>
      <w:r>
        <w:t>systém - systém</w:t>
      </w:r>
      <w:proofErr w:type="gramEnd"/>
      <w:r>
        <w:t xml:space="preserve"> GORDIC GINIS (G1, architektura klient-server), systém společnosti GORDIC spol. s r.o.</w:t>
      </w:r>
    </w:p>
    <w:p w14:paraId="7D116B47" w14:textId="2D0104A6" w:rsidR="00F93E73" w:rsidRDefault="00ED5B02" w:rsidP="00705F5E">
      <w:pPr>
        <w:pStyle w:val="Odstavecseseznamem"/>
        <w:numPr>
          <w:ilvl w:val="0"/>
          <w:numId w:val="30"/>
        </w:numPr>
        <w:ind w:left="851" w:hanging="567"/>
      </w:pPr>
      <w:r>
        <w:t xml:space="preserve">Všechny </w:t>
      </w:r>
      <w:r w:rsidR="00F93E73">
        <w:t>příspěvkov</w:t>
      </w:r>
      <w:r>
        <w:t>é</w:t>
      </w:r>
      <w:r w:rsidR="00F93E73">
        <w:t xml:space="preserve"> organizac</w:t>
      </w:r>
      <w:r>
        <w:t>e</w:t>
      </w:r>
      <w:r w:rsidR="00F93E73">
        <w:t xml:space="preserve"> (PO) Karlovarského Kraje využív</w:t>
      </w:r>
      <w:r>
        <w:t>ají</w:t>
      </w:r>
      <w:r w:rsidR="00F93E73">
        <w:t xml:space="preserve"> pro vedení ekonomických agend ekonomický systém společnosti GORDIC spol. s r.o. GINIS </w:t>
      </w:r>
      <w:r w:rsidR="00771E7B">
        <w:t xml:space="preserve">SQL </w:t>
      </w:r>
      <w:r w:rsidR="00F93E73">
        <w:t xml:space="preserve">Express. </w:t>
      </w:r>
    </w:p>
    <w:p w14:paraId="668557F5" w14:textId="00B6C01B" w:rsidR="009234C0" w:rsidRDefault="00F93E73" w:rsidP="00771E7B">
      <w:pPr>
        <w:pStyle w:val="Odstavecseseznamem"/>
        <w:numPr>
          <w:ilvl w:val="0"/>
          <w:numId w:val="30"/>
        </w:numPr>
        <w:ind w:left="851" w:hanging="567"/>
      </w:pPr>
      <w:r>
        <w:lastRenderedPageBreak/>
        <w:t xml:space="preserve">PO provozují ekonomický systém </w:t>
      </w:r>
      <w:r w:rsidR="00771E7B">
        <w:t xml:space="preserve">v rámci Microsoft RDS připojení </w:t>
      </w:r>
      <w:r>
        <w:t xml:space="preserve">na </w:t>
      </w:r>
      <w:r w:rsidR="00771E7B">
        <w:t>infrastruktuře TCK Karlovarského kraje:</w:t>
      </w:r>
    </w:p>
    <w:tbl>
      <w:tblPr>
        <w:tblStyle w:val="Mkatabulky"/>
        <w:tblW w:w="8646" w:type="dxa"/>
        <w:tblInd w:w="421" w:type="dxa"/>
        <w:tblLook w:val="04A0" w:firstRow="1" w:lastRow="0" w:firstColumn="1" w:lastColumn="0" w:noHBand="0" w:noVBand="1"/>
      </w:tblPr>
      <w:tblGrid>
        <w:gridCol w:w="8646"/>
      </w:tblGrid>
      <w:tr w:rsidR="00D7028B" w:rsidRPr="009966DC" w14:paraId="6C576DF4" w14:textId="77777777" w:rsidTr="00D7028B">
        <w:trPr>
          <w:trHeight w:val="510"/>
        </w:trPr>
        <w:tc>
          <w:tcPr>
            <w:tcW w:w="8646" w:type="dxa"/>
            <w:hideMark/>
          </w:tcPr>
          <w:p w14:paraId="248C325D" w14:textId="77777777" w:rsidR="00D7028B" w:rsidRPr="009966DC" w:rsidRDefault="00D7028B" w:rsidP="00D7028B">
            <w:pPr>
              <w:spacing w:after="160" w:line="259" w:lineRule="auto"/>
              <w:ind w:left="459" w:hanging="459"/>
              <w:rPr>
                <w:b/>
                <w:bCs/>
              </w:rPr>
            </w:pPr>
            <w:r w:rsidRPr="009966DC">
              <w:rPr>
                <w:b/>
                <w:bCs/>
              </w:rPr>
              <w:t>Název PO</w:t>
            </w:r>
          </w:p>
        </w:tc>
      </w:tr>
      <w:tr w:rsidR="00D7028B" w:rsidRPr="009966DC" w14:paraId="62E6C8C7" w14:textId="77777777" w:rsidTr="00D7028B">
        <w:trPr>
          <w:trHeight w:val="300"/>
        </w:trPr>
        <w:tc>
          <w:tcPr>
            <w:tcW w:w="8646" w:type="dxa"/>
            <w:noWrap/>
            <w:hideMark/>
          </w:tcPr>
          <w:p w14:paraId="71221875" w14:textId="77777777" w:rsidR="00D7028B" w:rsidRPr="009966DC" w:rsidRDefault="00D7028B" w:rsidP="00EA603D">
            <w:pPr>
              <w:numPr>
                <w:ilvl w:val="0"/>
                <w:numId w:val="1"/>
              </w:numPr>
              <w:spacing w:after="160" w:line="259" w:lineRule="auto"/>
            </w:pPr>
            <w:r w:rsidRPr="009966DC">
              <w:t>Základní škola a mateřská škola při zdravotnických zařízeních Karlovy Vary, příspěvková organizace</w:t>
            </w:r>
          </w:p>
        </w:tc>
      </w:tr>
      <w:tr w:rsidR="00D7028B" w:rsidRPr="009966DC" w14:paraId="66C7D740" w14:textId="77777777" w:rsidTr="00D7028B">
        <w:trPr>
          <w:trHeight w:val="300"/>
        </w:trPr>
        <w:tc>
          <w:tcPr>
            <w:tcW w:w="8646" w:type="dxa"/>
            <w:noWrap/>
            <w:hideMark/>
          </w:tcPr>
          <w:p w14:paraId="4AB1678A" w14:textId="77777777" w:rsidR="00D7028B" w:rsidRPr="009966DC" w:rsidRDefault="00D7028B" w:rsidP="00EA603D">
            <w:pPr>
              <w:numPr>
                <w:ilvl w:val="0"/>
                <w:numId w:val="1"/>
              </w:numPr>
              <w:spacing w:after="160" w:line="259" w:lineRule="auto"/>
            </w:pPr>
            <w:r w:rsidRPr="009966DC">
              <w:t>Základní škola Ostrov, příspěvková organizace</w:t>
            </w:r>
          </w:p>
        </w:tc>
      </w:tr>
      <w:tr w:rsidR="00D7028B" w:rsidRPr="009966DC" w14:paraId="4DE18140" w14:textId="77777777" w:rsidTr="00D7028B">
        <w:trPr>
          <w:trHeight w:val="300"/>
        </w:trPr>
        <w:tc>
          <w:tcPr>
            <w:tcW w:w="8646" w:type="dxa"/>
            <w:noWrap/>
            <w:hideMark/>
          </w:tcPr>
          <w:p w14:paraId="1B9994C9" w14:textId="33314895" w:rsidR="00D7028B" w:rsidRPr="009966DC" w:rsidRDefault="00D7028B" w:rsidP="00EA603D">
            <w:pPr>
              <w:numPr>
                <w:ilvl w:val="0"/>
                <w:numId w:val="1"/>
              </w:numPr>
              <w:spacing w:after="160" w:line="259" w:lineRule="auto"/>
            </w:pPr>
            <w:r w:rsidRPr="009966DC">
              <w:t>Gymnázium Sokolov a Krajské vzdělávací centrum, příspěvková organizace</w:t>
            </w:r>
          </w:p>
        </w:tc>
      </w:tr>
      <w:tr w:rsidR="00D7028B" w:rsidRPr="009966DC" w14:paraId="78A24555" w14:textId="77777777" w:rsidTr="00D7028B">
        <w:trPr>
          <w:trHeight w:val="300"/>
        </w:trPr>
        <w:tc>
          <w:tcPr>
            <w:tcW w:w="8646" w:type="dxa"/>
            <w:noWrap/>
            <w:hideMark/>
          </w:tcPr>
          <w:p w14:paraId="5F2847A5" w14:textId="77777777" w:rsidR="00D7028B" w:rsidRPr="009966DC" w:rsidRDefault="00D7028B" w:rsidP="00EA603D">
            <w:pPr>
              <w:numPr>
                <w:ilvl w:val="0"/>
                <w:numId w:val="1"/>
              </w:numPr>
              <w:spacing w:after="160" w:line="259" w:lineRule="auto"/>
            </w:pPr>
            <w:r w:rsidRPr="009966DC">
              <w:t>První české gymnázium v Karlových Varech, příspěvková organizace</w:t>
            </w:r>
          </w:p>
        </w:tc>
      </w:tr>
      <w:tr w:rsidR="00D7028B" w:rsidRPr="009966DC" w14:paraId="27526A16" w14:textId="77777777" w:rsidTr="00D7028B">
        <w:trPr>
          <w:trHeight w:val="300"/>
        </w:trPr>
        <w:tc>
          <w:tcPr>
            <w:tcW w:w="8646" w:type="dxa"/>
            <w:noWrap/>
            <w:hideMark/>
          </w:tcPr>
          <w:p w14:paraId="044AC89E" w14:textId="77777777" w:rsidR="00D7028B" w:rsidRPr="009966DC" w:rsidRDefault="00D7028B" w:rsidP="00EA603D">
            <w:pPr>
              <w:numPr>
                <w:ilvl w:val="0"/>
                <w:numId w:val="1"/>
              </w:numPr>
              <w:spacing w:after="160" w:line="259" w:lineRule="auto"/>
            </w:pPr>
            <w:r w:rsidRPr="009966DC">
              <w:t>Gymnázium Ostrov, příspěvková organizace</w:t>
            </w:r>
          </w:p>
        </w:tc>
      </w:tr>
      <w:tr w:rsidR="00D7028B" w:rsidRPr="009966DC" w14:paraId="1552C504" w14:textId="77777777" w:rsidTr="00D7028B">
        <w:trPr>
          <w:trHeight w:val="300"/>
        </w:trPr>
        <w:tc>
          <w:tcPr>
            <w:tcW w:w="8646" w:type="dxa"/>
            <w:noWrap/>
            <w:hideMark/>
          </w:tcPr>
          <w:p w14:paraId="1FBC9EFE" w14:textId="77777777" w:rsidR="00D7028B" w:rsidRPr="009966DC" w:rsidRDefault="00D7028B" w:rsidP="00EA603D">
            <w:pPr>
              <w:numPr>
                <w:ilvl w:val="0"/>
                <w:numId w:val="1"/>
              </w:numPr>
              <w:spacing w:after="160" w:line="259" w:lineRule="auto"/>
            </w:pPr>
            <w:r w:rsidRPr="009966DC">
              <w:t>Gymnázium Aš, příspěvková organizace</w:t>
            </w:r>
          </w:p>
        </w:tc>
      </w:tr>
      <w:tr w:rsidR="00D7028B" w:rsidRPr="009966DC" w14:paraId="12E6EA3D" w14:textId="77777777" w:rsidTr="00D7028B">
        <w:trPr>
          <w:trHeight w:val="300"/>
        </w:trPr>
        <w:tc>
          <w:tcPr>
            <w:tcW w:w="8646" w:type="dxa"/>
            <w:noWrap/>
            <w:hideMark/>
          </w:tcPr>
          <w:p w14:paraId="235CF2D6" w14:textId="77777777" w:rsidR="00D7028B" w:rsidRPr="009966DC" w:rsidRDefault="00D7028B" w:rsidP="00EA603D">
            <w:pPr>
              <w:numPr>
                <w:ilvl w:val="0"/>
                <w:numId w:val="1"/>
              </w:numPr>
              <w:spacing w:after="160" w:line="259" w:lineRule="auto"/>
            </w:pPr>
            <w:r w:rsidRPr="009966DC">
              <w:t>Gymnázium a obchodní akademie Mariánské Lázně, příspěvková organizace</w:t>
            </w:r>
          </w:p>
        </w:tc>
      </w:tr>
      <w:tr w:rsidR="00D7028B" w:rsidRPr="009966DC" w14:paraId="7A871D3C" w14:textId="77777777" w:rsidTr="00D7028B">
        <w:trPr>
          <w:trHeight w:val="300"/>
        </w:trPr>
        <w:tc>
          <w:tcPr>
            <w:tcW w:w="8646" w:type="dxa"/>
            <w:noWrap/>
            <w:hideMark/>
          </w:tcPr>
          <w:p w14:paraId="3FB4E9D2" w14:textId="77777777" w:rsidR="00D7028B" w:rsidRPr="009966DC" w:rsidRDefault="00D7028B" w:rsidP="00EA603D">
            <w:pPr>
              <w:numPr>
                <w:ilvl w:val="0"/>
                <w:numId w:val="1"/>
              </w:numPr>
              <w:spacing w:after="160" w:line="259" w:lineRule="auto"/>
            </w:pPr>
            <w:r w:rsidRPr="009966DC">
              <w:t>Gymnázium Cheb, příspěvková organizace</w:t>
            </w:r>
          </w:p>
        </w:tc>
      </w:tr>
      <w:tr w:rsidR="00D7028B" w:rsidRPr="009966DC" w14:paraId="0DAF98B4" w14:textId="77777777" w:rsidTr="00D7028B">
        <w:trPr>
          <w:trHeight w:val="300"/>
        </w:trPr>
        <w:tc>
          <w:tcPr>
            <w:tcW w:w="8646" w:type="dxa"/>
            <w:noWrap/>
            <w:hideMark/>
          </w:tcPr>
          <w:p w14:paraId="2C797F95" w14:textId="77777777" w:rsidR="00D7028B" w:rsidRPr="009966DC" w:rsidRDefault="00D7028B" w:rsidP="00EA603D">
            <w:pPr>
              <w:numPr>
                <w:ilvl w:val="0"/>
                <w:numId w:val="1"/>
              </w:numPr>
              <w:spacing w:after="160" w:line="259" w:lineRule="auto"/>
            </w:pPr>
            <w:r w:rsidRPr="009966DC">
              <w:t>Střední pedagogická škola, gymnázium a vyšší odborná škola Karlovy Vary, příspěvková organizace</w:t>
            </w:r>
          </w:p>
        </w:tc>
      </w:tr>
      <w:tr w:rsidR="00D7028B" w:rsidRPr="009966DC" w14:paraId="0B761045" w14:textId="77777777" w:rsidTr="00D7028B">
        <w:trPr>
          <w:trHeight w:val="300"/>
        </w:trPr>
        <w:tc>
          <w:tcPr>
            <w:tcW w:w="8646" w:type="dxa"/>
            <w:noWrap/>
            <w:hideMark/>
          </w:tcPr>
          <w:p w14:paraId="2481DA87" w14:textId="2F0C5B9A" w:rsidR="00D7028B" w:rsidRPr="009966DC" w:rsidRDefault="00D7028B" w:rsidP="00EA603D">
            <w:pPr>
              <w:numPr>
                <w:ilvl w:val="0"/>
                <w:numId w:val="1"/>
              </w:numPr>
              <w:spacing w:after="160" w:line="259" w:lineRule="auto"/>
            </w:pPr>
            <w:r w:rsidRPr="009966DC">
              <w:t xml:space="preserve">Obchodní </w:t>
            </w:r>
            <w:r w:rsidR="00003A2C" w:rsidRPr="009966DC">
              <w:t>akademie</w:t>
            </w:r>
            <w:r w:rsidRPr="009966DC">
              <w:t>, vyšší odborná škola cestovního ruchu a jazyková škola s právem státní jazykové zkoušky Karlovy Vary, příspěvková organizace</w:t>
            </w:r>
          </w:p>
        </w:tc>
      </w:tr>
      <w:tr w:rsidR="00D7028B" w:rsidRPr="009966DC" w14:paraId="7373CD70" w14:textId="77777777" w:rsidTr="00D7028B">
        <w:trPr>
          <w:trHeight w:val="300"/>
        </w:trPr>
        <w:tc>
          <w:tcPr>
            <w:tcW w:w="8646" w:type="dxa"/>
            <w:noWrap/>
            <w:hideMark/>
          </w:tcPr>
          <w:p w14:paraId="4B5AE7F4" w14:textId="77777777" w:rsidR="00D7028B" w:rsidRPr="009966DC" w:rsidRDefault="00D7028B" w:rsidP="00EA603D">
            <w:pPr>
              <w:numPr>
                <w:ilvl w:val="0"/>
                <w:numId w:val="1"/>
              </w:numPr>
              <w:spacing w:after="160" w:line="259" w:lineRule="auto"/>
            </w:pPr>
            <w:r w:rsidRPr="009966DC">
              <w:t>Střední lesnická škola Žlutice, příspěvková organizace</w:t>
            </w:r>
          </w:p>
        </w:tc>
      </w:tr>
      <w:tr w:rsidR="00D7028B" w:rsidRPr="009966DC" w14:paraId="4DF403D0" w14:textId="77777777" w:rsidTr="00D7028B">
        <w:trPr>
          <w:trHeight w:val="300"/>
        </w:trPr>
        <w:tc>
          <w:tcPr>
            <w:tcW w:w="8646" w:type="dxa"/>
            <w:noWrap/>
            <w:hideMark/>
          </w:tcPr>
          <w:p w14:paraId="3C9D2C9C" w14:textId="77777777" w:rsidR="00D7028B" w:rsidRPr="009966DC" w:rsidRDefault="00D7028B" w:rsidP="00EA603D">
            <w:pPr>
              <w:numPr>
                <w:ilvl w:val="0"/>
                <w:numId w:val="1"/>
              </w:numPr>
              <w:spacing w:after="160" w:line="259" w:lineRule="auto"/>
            </w:pPr>
            <w:r w:rsidRPr="009966DC">
              <w:t>Střední uměleckoprůmyslová škola keramická a sklářská Karlovy Vary, příspěvková organizace</w:t>
            </w:r>
          </w:p>
        </w:tc>
      </w:tr>
      <w:tr w:rsidR="00D7028B" w:rsidRPr="009966DC" w14:paraId="3608D6CE" w14:textId="77777777" w:rsidTr="00D7028B">
        <w:trPr>
          <w:trHeight w:val="300"/>
        </w:trPr>
        <w:tc>
          <w:tcPr>
            <w:tcW w:w="8646" w:type="dxa"/>
            <w:noWrap/>
            <w:hideMark/>
          </w:tcPr>
          <w:p w14:paraId="25431583" w14:textId="77777777" w:rsidR="00D7028B" w:rsidRPr="009966DC" w:rsidRDefault="00D7028B" w:rsidP="00EA603D">
            <w:pPr>
              <w:numPr>
                <w:ilvl w:val="0"/>
                <w:numId w:val="1"/>
              </w:numPr>
              <w:spacing w:after="160" w:line="259" w:lineRule="auto"/>
            </w:pPr>
            <w:r w:rsidRPr="009966DC">
              <w:t>Střední průmyslová škola Ostrov, příspěvková organizace</w:t>
            </w:r>
          </w:p>
        </w:tc>
      </w:tr>
      <w:tr w:rsidR="00D7028B" w:rsidRPr="009966DC" w14:paraId="159AD8F8" w14:textId="77777777" w:rsidTr="00D7028B">
        <w:trPr>
          <w:trHeight w:val="300"/>
        </w:trPr>
        <w:tc>
          <w:tcPr>
            <w:tcW w:w="8646" w:type="dxa"/>
            <w:noWrap/>
            <w:hideMark/>
          </w:tcPr>
          <w:p w14:paraId="0C256EF6" w14:textId="77777777" w:rsidR="00D7028B" w:rsidRPr="009966DC" w:rsidRDefault="00D7028B" w:rsidP="00EA603D">
            <w:pPr>
              <w:numPr>
                <w:ilvl w:val="0"/>
                <w:numId w:val="1"/>
              </w:numPr>
              <w:spacing w:after="160" w:line="259" w:lineRule="auto"/>
            </w:pPr>
            <w:r w:rsidRPr="009966DC">
              <w:t>Střední zdravotnická škola a vyšší odborná škola zdravotnická Karlovy Vary, příspěvková organizace</w:t>
            </w:r>
          </w:p>
        </w:tc>
      </w:tr>
      <w:tr w:rsidR="00D7028B" w:rsidRPr="009966DC" w14:paraId="14A2F3CE" w14:textId="77777777" w:rsidTr="00D7028B">
        <w:trPr>
          <w:trHeight w:val="300"/>
        </w:trPr>
        <w:tc>
          <w:tcPr>
            <w:tcW w:w="8646" w:type="dxa"/>
            <w:noWrap/>
            <w:hideMark/>
          </w:tcPr>
          <w:p w14:paraId="70827017" w14:textId="77777777" w:rsidR="00D7028B" w:rsidRPr="009966DC" w:rsidRDefault="00D7028B" w:rsidP="00EA603D">
            <w:pPr>
              <w:numPr>
                <w:ilvl w:val="0"/>
                <w:numId w:val="1"/>
              </w:numPr>
              <w:spacing w:after="160" w:line="259" w:lineRule="auto"/>
            </w:pPr>
            <w:r w:rsidRPr="009966DC">
              <w:t>Hotelová škola Mariánské Lázně, příspěvková organizace</w:t>
            </w:r>
          </w:p>
        </w:tc>
      </w:tr>
      <w:tr w:rsidR="00D7028B" w:rsidRPr="009966DC" w14:paraId="1580EA0D" w14:textId="77777777" w:rsidTr="00D7028B">
        <w:trPr>
          <w:trHeight w:val="300"/>
        </w:trPr>
        <w:tc>
          <w:tcPr>
            <w:tcW w:w="8646" w:type="dxa"/>
            <w:noWrap/>
            <w:hideMark/>
          </w:tcPr>
          <w:p w14:paraId="4A6FDF3B" w14:textId="04BA58D2" w:rsidR="00D7028B" w:rsidRPr="009966DC" w:rsidRDefault="00D7028B" w:rsidP="00EA603D">
            <w:pPr>
              <w:numPr>
                <w:ilvl w:val="0"/>
                <w:numId w:val="1"/>
              </w:numPr>
              <w:spacing w:after="160" w:line="259" w:lineRule="auto"/>
            </w:pPr>
            <w:r w:rsidRPr="009966DC">
              <w:t>Střední škola stravování a služeb Karlovy Vary, příspěvková organizace</w:t>
            </w:r>
          </w:p>
        </w:tc>
      </w:tr>
      <w:tr w:rsidR="00D7028B" w:rsidRPr="009966DC" w14:paraId="466D89AD" w14:textId="77777777" w:rsidTr="00D7028B">
        <w:trPr>
          <w:trHeight w:val="300"/>
        </w:trPr>
        <w:tc>
          <w:tcPr>
            <w:tcW w:w="8646" w:type="dxa"/>
            <w:noWrap/>
            <w:hideMark/>
          </w:tcPr>
          <w:p w14:paraId="0D9FBA2F" w14:textId="7BEE17D9" w:rsidR="00D7028B" w:rsidRPr="009966DC" w:rsidRDefault="00D7028B" w:rsidP="00EA603D">
            <w:pPr>
              <w:numPr>
                <w:ilvl w:val="0"/>
                <w:numId w:val="1"/>
              </w:numPr>
              <w:spacing w:after="160" w:line="259" w:lineRule="auto"/>
            </w:pPr>
            <w:r w:rsidRPr="009966DC">
              <w:t>Střední odborná škola stavební Karlovy Vary, příspěvková organizace</w:t>
            </w:r>
          </w:p>
        </w:tc>
      </w:tr>
      <w:tr w:rsidR="00D7028B" w:rsidRPr="009966DC" w14:paraId="5F38D9D7" w14:textId="77777777" w:rsidTr="00D7028B">
        <w:trPr>
          <w:trHeight w:val="300"/>
        </w:trPr>
        <w:tc>
          <w:tcPr>
            <w:tcW w:w="8646" w:type="dxa"/>
            <w:noWrap/>
            <w:hideMark/>
          </w:tcPr>
          <w:p w14:paraId="73478D42" w14:textId="77777777" w:rsidR="00D7028B" w:rsidRPr="009966DC" w:rsidRDefault="00D7028B" w:rsidP="00EA603D">
            <w:pPr>
              <w:numPr>
                <w:ilvl w:val="0"/>
                <w:numId w:val="1"/>
              </w:numPr>
              <w:spacing w:after="160" w:line="259" w:lineRule="auto"/>
            </w:pPr>
            <w:r w:rsidRPr="009966DC">
              <w:t>Domov mládeže a školní jídelna Karlovy Vary, příspěvková organizace</w:t>
            </w:r>
          </w:p>
        </w:tc>
      </w:tr>
      <w:tr w:rsidR="00D7028B" w:rsidRPr="009966DC" w14:paraId="367D542E" w14:textId="77777777" w:rsidTr="00D7028B">
        <w:trPr>
          <w:trHeight w:val="300"/>
        </w:trPr>
        <w:tc>
          <w:tcPr>
            <w:tcW w:w="8646" w:type="dxa"/>
            <w:noWrap/>
            <w:hideMark/>
          </w:tcPr>
          <w:p w14:paraId="2309EA2B" w14:textId="77777777" w:rsidR="00D7028B" w:rsidRPr="009966DC" w:rsidRDefault="00D7028B" w:rsidP="00EA603D">
            <w:pPr>
              <w:numPr>
                <w:ilvl w:val="0"/>
                <w:numId w:val="1"/>
              </w:numPr>
              <w:spacing w:after="160" w:line="259" w:lineRule="auto"/>
            </w:pPr>
            <w:r w:rsidRPr="009966DC">
              <w:t>Domov mládeže a školní jídelna Mariánské Lázně, příspěvková organizace</w:t>
            </w:r>
          </w:p>
        </w:tc>
      </w:tr>
      <w:tr w:rsidR="00D7028B" w:rsidRPr="009966DC" w14:paraId="26C9B806" w14:textId="77777777" w:rsidTr="00D7028B">
        <w:trPr>
          <w:trHeight w:val="300"/>
        </w:trPr>
        <w:tc>
          <w:tcPr>
            <w:tcW w:w="8646" w:type="dxa"/>
            <w:noWrap/>
            <w:hideMark/>
          </w:tcPr>
          <w:p w14:paraId="0113470D" w14:textId="77777777" w:rsidR="00D7028B" w:rsidRPr="009966DC" w:rsidRDefault="00D7028B" w:rsidP="00EA603D">
            <w:pPr>
              <w:numPr>
                <w:ilvl w:val="0"/>
                <w:numId w:val="1"/>
              </w:numPr>
              <w:spacing w:after="160" w:line="259" w:lineRule="auto"/>
            </w:pPr>
            <w:r w:rsidRPr="009966DC">
              <w:t>Pedagogicko-psychologická poradna Karlovy Vary, příspěvková organizace</w:t>
            </w:r>
          </w:p>
        </w:tc>
      </w:tr>
      <w:tr w:rsidR="00D7028B" w:rsidRPr="009966DC" w14:paraId="69F31532" w14:textId="77777777" w:rsidTr="00D7028B">
        <w:trPr>
          <w:trHeight w:val="300"/>
        </w:trPr>
        <w:tc>
          <w:tcPr>
            <w:tcW w:w="8646" w:type="dxa"/>
            <w:noWrap/>
            <w:hideMark/>
          </w:tcPr>
          <w:p w14:paraId="23A587FC" w14:textId="77777777" w:rsidR="00D7028B" w:rsidRPr="009966DC" w:rsidRDefault="00D7028B" w:rsidP="00EA603D">
            <w:pPr>
              <w:numPr>
                <w:ilvl w:val="0"/>
                <w:numId w:val="1"/>
              </w:numPr>
              <w:spacing w:after="160" w:line="259" w:lineRule="auto"/>
            </w:pPr>
            <w:r w:rsidRPr="009966DC">
              <w:t xml:space="preserve">Základní umělecká škola Josefa </w:t>
            </w:r>
            <w:proofErr w:type="spellStart"/>
            <w:r w:rsidRPr="009966DC">
              <w:t>Labitzkého</w:t>
            </w:r>
            <w:proofErr w:type="spellEnd"/>
            <w:r w:rsidRPr="009966DC">
              <w:t xml:space="preserve"> Bečov nad Teplou, příspěvková organizace</w:t>
            </w:r>
          </w:p>
        </w:tc>
      </w:tr>
      <w:tr w:rsidR="00D7028B" w:rsidRPr="009966DC" w14:paraId="0C376FA9" w14:textId="77777777" w:rsidTr="00D7028B">
        <w:trPr>
          <w:trHeight w:val="300"/>
        </w:trPr>
        <w:tc>
          <w:tcPr>
            <w:tcW w:w="8646" w:type="dxa"/>
            <w:noWrap/>
            <w:hideMark/>
          </w:tcPr>
          <w:p w14:paraId="2D81104F" w14:textId="77777777" w:rsidR="00D7028B" w:rsidRPr="009966DC" w:rsidRDefault="00D7028B" w:rsidP="00EA603D">
            <w:pPr>
              <w:numPr>
                <w:ilvl w:val="0"/>
                <w:numId w:val="1"/>
              </w:numPr>
              <w:spacing w:after="160" w:line="259" w:lineRule="auto"/>
            </w:pPr>
            <w:r w:rsidRPr="009966DC">
              <w:t>Dětský domov Karlovy Vary a Ostrov, příspěvková organizace</w:t>
            </w:r>
          </w:p>
        </w:tc>
      </w:tr>
      <w:tr w:rsidR="00D7028B" w:rsidRPr="009966DC" w14:paraId="28887ED6" w14:textId="77777777" w:rsidTr="00D7028B">
        <w:trPr>
          <w:trHeight w:val="300"/>
        </w:trPr>
        <w:tc>
          <w:tcPr>
            <w:tcW w:w="8646" w:type="dxa"/>
            <w:noWrap/>
            <w:hideMark/>
          </w:tcPr>
          <w:p w14:paraId="45C34FAE" w14:textId="77777777" w:rsidR="00D7028B" w:rsidRPr="009966DC" w:rsidRDefault="00D7028B" w:rsidP="00EA603D">
            <w:pPr>
              <w:numPr>
                <w:ilvl w:val="0"/>
                <w:numId w:val="1"/>
              </w:numPr>
              <w:spacing w:after="160" w:line="259" w:lineRule="auto"/>
            </w:pPr>
            <w:r w:rsidRPr="009966DC">
              <w:lastRenderedPageBreak/>
              <w:t>Koordinátor integrovaného dopravního systému Karlovarského kraje</w:t>
            </w:r>
          </w:p>
        </w:tc>
      </w:tr>
      <w:tr w:rsidR="00D7028B" w:rsidRPr="009966DC" w14:paraId="15BACB12" w14:textId="77777777" w:rsidTr="00D7028B">
        <w:trPr>
          <w:trHeight w:val="300"/>
        </w:trPr>
        <w:tc>
          <w:tcPr>
            <w:tcW w:w="8646" w:type="dxa"/>
            <w:noWrap/>
            <w:hideMark/>
          </w:tcPr>
          <w:p w14:paraId="17769975" w14:textId="77777777" w:rsidR="00D7028B" w:rsidRPr="009966DC" w:rsidRDefault="00D7028B" w:rsidP="00EA603D">
            <w:pPr>
              <w:numPr>
                <w:ilvl w:val="0"/>
                <w:numId w:val="1"/>
              </w:numPr>
              <w:spacing w:after="160" w:line="259" w:lineRule="auto"/>
            </w:pPr>
            <w:r w:rsidRPr="009966DC">
              <w:t>Agentura krajského energetického managementu Karlovarského kraje, příspěvková organizace</w:t>
            </w:r>
          </w:p>
        </w:tc>
      </w:tr>
      <w:tr w:rsidR="00D7028B" w:rsidRPr="009966DC" w14:paraId="384DA013" w14:textId="77777777" w:rsidTr="00D7028B">
        <w:trPr>
          <w:trHeight w:val="300"/>
        </w:trPr>
        <w:tc>
          <w:tcPr>
            <w:tcW w:w="8646" w:type="dxa"/>
            <w:noWrap/>
            <w:hideMark/>
          </w:tcPr>
          <w:p w14:paraId="3A0D3A38" w14:textId="77777777" w:rsidR="00D7028B" w:rsidRPr="009966DC" w:rsidRDefault="00D7028B" w:rsidP="00EA603D">
            <w:pPr>
              <w:numPr>
                <w:ilvl w:val="0"/>
                <w:numId w:val="1"/>
              </w:numPr>
              <w:spacing w:after="160" w:line="259" w:lineRule="auto"/>
            </w:pPr>
            <w:r w:rsidRPr="009966DC">
              <w:t>Karlovarská agentura rozvoje podnikání, příspěvková organizace</w:t>
            </w:r>
          </w:p>
        </w:tc>
      </w:tr>
      <w:tr w:rsidR="00D7028B" w:rsidRPr="009966DC" w14:paraId="787A203A" w14:textId="77777777" w:rsidTr="00D7028B">
        <w:trPr>
          <w:trHeight w:val="300"/>
        </w:trPr>
        <w:tc>
          <w:tcPr>
            <w:tcW w:w="8646" w:type="dxa"/>
            <w:noWrap/>
            <w:hideMark/>
          </w:tcPr>
          <w:p w14:paraId="1502BE10" w14:textId="77777777" w:rsidR="00D7028B" w:rsidRPr="009966DC" w:rsidRDefault="00D7028B" w:rsidP="00EA603D">
            <w:pPr>
              <w:numPr>
                <w:ilvl w:val="0"/>
                <w:numId w:val="1"/>
              </w:numPr>
              <w:spacing w:after="160" w:line="259" w:lineRule="auto"/>
            </w:pPr>
            <w:r w:rsidRPr="009966DC">
              <w:t>Galerie umění Karlovy Vary, příspěvková organizace Karlovarského kraje</w:t>
            </w:r>
          </w:p>
        </w:tc>
      </w:tr>
      <w:tr w:rsidR="00D7028B" w:rsidRPr="009966DC" w14:paraId="50A074BA" w14:textId="77777777" w:rsidTr="00D7028B">
        <w:trPr>
          <w:trHeight w:val="300"/>
        </w:trPr>
        <w:tc>
          <w:tcPr>
            <w:tcW w:w="8646" w:type="dxa"/>
            <w:noWrap/>
            <w:hideMark/>
          </w:tcPr>
          <w:p w14:paraId="0033515A" w14:textId="77777777" w:rsidR="00D7028B" w:rsidRPr="009966DC" w:rsidRDefault="00D7028B" w:rsidP="00EA603D">
            <w:pPr>
              <w:numPr>
                <w:ilvl w:val="0"/>
                <w:numId w:val="1"/>
              </w:numPr>
              <w:spacing w:after="160" w:line="259" w:lineRule="auto"/>
            </w:pPr>
            <w:r w:rsidRPr="009966DC">
              <w:t>Galerie výtvarného umění v Chebu, příspěvková organizace Karlovarského kraje</w:t>
            </w:r>
          </w:p>
        </w:tc>
      </w:tr>
      <w:tr w:rsidR="00D7028B" w:rsidRPr="009966DC" w14:paraId="3D5748B9" w14:textId="77777777" w:rsidTr="00D7028B">
        <w:trPr>
          <w:trHeight w:val="300"/>
        </w:trPr>
        <w:tc>
          <w:tcPr>
            <w:tcW w:w="8646" w:type="dxa"/>
            <w:noWrap/>
            <w:hideMark/>
          </w:tcPr>
          <w:p w14:paraId="36AAE08F" w14:textId="77777777" w:rsidR="00D7028B" w:rsidRPr="009966DC" w:rsidRDefault="00D7028B" w:rsidP="00EA603D">
            <w:pPr>
              <w:numPr>
                <w:ilvl w:val="0"/>
                <w:numId w:val="1"/>
              </w:numPr>
              <w:spacing w:after="160" w:line="259" w:lineRule="auto"/>
            </w:pPr>
            <w:r w:rsidRPr="009966DC">
              <w:t>Krajská knihovna Karlovy Vary</w:t>
            </w:r>
          </w:p>
        </w:tc>
      </w:tr>
      <w:tr w:rsidR="00D7028B" w:rsidRPr="009966DC" w14:paraId="7B490547" w14:textId="77777777" w:rsidTr="00D7028B">
        <w:trPr>
          <w:trHeight w:val="300"/>
        </w:trPr>
        <w:tc>
          <w:tcPr>
            <w:tcW w:w="8646" w:type="dxa"/>
            <w:noWrap/>
            <w:hideMark/>
          </w:tcPr>
          <w:p w14:paraId="588DBF2A" w14:textId="77777777" w:rsidR="00D7028B" w:rsidRPr="009966DC" w:rsidRDefault="00D7028B" w:rsidP="00EA603D">
            <w:pPr>
              <w:numPr>
                <w:ilvl w:val="0"/>
                <w:numId w:val="1"/>
              </w:numPr>
              <w:spacing w:after="160" w:line="259" w:lineRule="auto"/>
            </w:pPr>
            <w:r w:rsidRPr="009966DC">
              <w:t>Muzeum Karlovy Vary, příspěvková organizace Karlovarského kraje</w:t>
            </w:r>
          </w:p>
        </w:tc>
      </w:tr>
      <w:tr w:rsidR="00D7028B" w:rsidRPr="009966DC" w14:paraId="2A122ED7" w14:textId="77777777" w:rsidTr="00D7028B">
        <w:trPr>
          <w:trHeight w:val="300"/>
        </w:trPr>
        <w:tc>
          <w:tcPr>
            <w:tcW w:w="8646" w:type="dxa"/>
            <w:noWrap/>
            <w:hideMark/>
          </w:tcPr>
          <w:p w14:paraId="3B5C7DFD" w14:textId="77777777" w:rsidR="00D7028B" w:rsidRPr="009966DC" w:rsidRDefault="00D7028B" w:rsidP="00EA603D">
            <w:pPr>
              <w:numPr>
                <w:ilvl w:val="0"/>
                <w:numId w:val="1"/>
              </w:numPr>
              <w:spacing w:after="160" w:line="259" w:lineRule="auto"/>
            </w:pPr>
            <w:r w:rsidRPr="009966DC">
              <w:t>Muzeum Sokolov, příspěvková organizace Karlovarského kraje</w:t>
            </w:r>
          </w:p>
        </w:tc>
      </w:tr>
      <w:tr w:rsidR="00D7028B" w:rsidRPr="009966DC" w14:paraId="72C1BD38" w14:textId="77777777" w:rsidTr="00D7028B">
        <w:trPr>
          <w:trHeight w:val="300"/>
        </w:trPr>
        <w:tc>
          <w:tcPr>
            <w:tcW w:w="8646" w:type="dxa"/>
            <w:noWrap/>
            <w:hideMark/>
          </w:tcPr>
          <w:p w14:paraId="169BBECE" w14:textId="77777777" w:rsidR="00D7028B" w:rsidRPr="009966DC" w:rsidRDefault="00D7028B" w:rsidP="00EA603D">
            <w:pPr>
              <w:numPr>
                <w:ilvl w:val="0"/>
                <w:numId w:val="1"/>
              </w:numPr>
              <w:spacing w:after="160" w:line="259" w:lineRule="auto"/>
            </w:pPr>
            <w:r w:rsidRPr="009966DC">
              <w:t>Muzeum Cheb, příspěvková organizace Karlovarského kraje</w:t>
            </w:r>
          </w:p>
        </w:tc>
      </w:tr>
      <w:tr w:rsidR="00D7028B" w:rsidRPr="009966DC" w14:paraId="78732F37" w14:textId="77777777" w:rsidTr="00D7028B">
        <w:trPr>
          <w:trHeight w:val="300"/>
        </w:trPr>
        <w:tc>
          <w:tcPr>
            <w:tcW w:w="8646" w:type="dxa"/>
            <w:noWrap/>
            <w:hideMark/>
          </w:tcPr>
          <w:p w14:paraId="0D84FAAB" w14:textId="77777777" w:rsidR="00D7028B" w:rsidRPr="009966DC" w:rsidRDefault="00D7028B" w:rsidP="00EA603D">
            <w:pPr>
              <w:numPr>
                <w:ilvl w:val="0"/>
                <w:numId w:val="1"/>
              </w:numPr>
              <w:spacing w:after="160" w:line="259" w:lineRule="auto"/>
            </w:pPr>
            <w:r w:rsidRPr="009966DC">
              <w:t>Galerie 4 - galerie fotografie, příspěvková organizace Karlovarského kraje</w:t>
            </w:r>
          </w:p>
        </w:tc>
      </w:tr>
      <w:tr w:rsidR="00D7028B" w:rsidRPr="009966DC" w14:paraId="1A9E2A82" w14:textId="77777777" w:rsidTr="00D7028B">
        <w:trPr>
          <w:trHeight w:val="300"/>
        </w:trPr>
        <w:tc>
          <w:tcPr>
            <w:tcW w:w="8646" w:type="dxa"/>
            <w:noWrap/>
            <w:hideMark/>
          </w:tcPr>
          <w:p w14:paraId="75E75620" w14:textId="77777777" w:rsidR="00D7028B" w:rsidRPr="009966DC" w:rsidRDefault="00D7028B" w:rsidP="00EA603D">
            <w:pPr>
              <w:numPr>
                <w:ilvl w:val="0"/>
                <w:numId w:val="1"/>
              </w:numPr>
              <w:spacing w:after="160" w:line="259" w:lineRule="auto"/>
            </w:pPr>
            <w:r w:rsidRPr="009966DC">
              <w:t>Císařské lázně, příspěvková organizace</w:t>
            </w:r>
          </w:p>
        </w:tc>
      </w:tr>
      <w:tr w:rsidR="00D7028B" w:rsidRPr="009966DC" w14:paraId="355D08EA" w14:textId="77777777" w:rsidTr="00D7028B">
        <w:trPr>
          <w:trHeight w:val="300"/>
        </w:trPr>
        <w:tc>
          <w:tcPr>
            <w:tcW w:w="8646" w:type="dxa"/>
            <w:noWrap/>
            <w:hideMark/>
          </w:tcPr>
          <w:p w14:paraId="40D180AA" w14:textId="77777777" w:rsidR="00D7028B" w:rsidRPr="009966DC" w:rsidRDefault="00D7028B" w:rsidP="00EA603D">
            <w:pPr>
              <w:numPr>
                <w:ilvl w:val="0"/>
                <w:numId w:val="1"/>
              </w:numPr>
              <w:spacing w:after="160" w:line="259" w:lineRule="auto"/>
            </w:pPr>
            <w:r w:rsidRPr="009966DC">
              <w:t>Domov pro seniory v Lázních Kynžvart, příspěvková organizace</w:t>
            </w:r>
          </w:p>
        </w:tc>
      </w:tr>
      <w:tr w:rsidR="00D7028B" w:rsidRPr="009966DC" w14:paraId="397326B8" w14:textId="77777777" w:rsidTr="00D7028B">
        <w:trPr>
          <w:trHeight w:val="300"/>
        </w:trPr>
        <w:tc>
          <w:tcPr>
            <w:tcW w:w="8646" w:type="dxa"/>
            <w:noWrap/>
            <w:hideMark/>
          </w:tcPr>
          <w:p w14:paraId="4D2BCA4E" w14:textId="77777777" w:rsidR="00D7028B" w:rsidRPr="009966DC" w:rsidRDefault="00D7028B" w:rsidP="00EA603D">
            <w:pPr>
              <w:numPr>
                <w:ilvl w:val="0"/>
                <w:numId w:val="1"/>
              </w:numPr>
              <w:spacing w:after="160" w:line="259" w:lineRule="auto"/>
            </w:pPr>
            <w:r w:rsidRPr="009966DC">
              <w:t>Domov pro seniory "SKALKA" v Chebu, příspěvková organizace</w:t>
            </w:r>
          </w:p>
        </w:tc>
      </w:tr>
      <w:tr w:rsidR="00D7028B" w:rsidRPr="009966DC" w14:paraId="28B9B891" w14:textId="77777777" w:rsidTr="00D7028B">
        <w:trPr>
          <w:trHeight w:val="300"/>
        </w:trPr>
        <w:tc>
          <w:tcPr>
            <w:tcW w:w="8646" w:type="dxa"/>
            <w:noWrap/>
            <w:hideMark/>
          </w:tcPr>
          <w:p w14:paraId="11A12ABA" w14:textId="77777777" w:rsidR="00D7028B" w:rsidRPr="009966DC" w:rsidRDefault="00D7028B" w:rsidP="00EA603D">
            <w:pPr>
              <w:numPr>
                <w:ilvl w:val="0"/>
                <w:numId w:val="1"/>
              </w:numPr>
              <w:spacing w:after="160" w:line="259" w:lineRule="auto"/>
            </w:pPr>
            <w:r w:rsidRPr="009966DC">
              <w:t>Domov pro seniory v Hranicích, příspěvková organizace</w:t>
            </w:r>
          </w:p>
        </w:tc>
      </w:tr>
      <w:tr w:rsidR="00D7028B" w:rsidRPr="009966DC" w14:paraId="2B942219" w14:textId="77777777" w:rsidTr="00D7028B">
        <w:trPr>
          <w:trHeight w:val="300"/>
        </w:trPr>
        <w:tc>
          <w:tcPr>
            <w:tcW w:w="8646" w:type="dxa"/>
            <w:noWrap/>
            <w:hideMark/>
          </w:tcPr>
          <w:p w14:paraId="77EA5DD3" w14:textId="77777777" w:rsidR="00D7028B" w:rsidRPr="009966DC" w:rsidRDefault="00D7028B" w:rsidP="00EA603D">
            <w:pPr>
              <w:numPr>
                <w:ilvl w:val="0"/>
                <w:numId w:val="1"/>
              </w:numPr>
              <w:spacing w:after="160" w:line="259" w:lineRule="auto"/>
            </w:pPr>
            <w:r w:rsidRPr="009966DC">
              <w:t>Domov "Pata", příspěvková organizace</w:t>
            </w:r>
          </w:p>
        </w:tc>
      </w:tr>
      <w:tr w:rsidR="00D7028B" w:rsidRPr="009966DC" w14:paraId="555F2BFE" w14:textId="77777777" w:rsidTr="00D7028B">
        <w:trPr>
          <w:trHeight w:val="300"/>
        </w:trPr>
        <w:tc>
          <w:tcPr>
            <w:tcW w:w="8646" w:type="dxa"/>
            <w:noWrap/>
            <w:hideMark/>
          </w:tcPr>
          <w:p w14:paraId="6CECD240" w14:textId="77777777" w:rsidR="00D7028B" w:rsidRPr="009966DC" w:rsidRDefault="00D7028B" w:rsidP="00EA603D">
            <w:pPr>
              <w:numPr>
                <w:ilvl w:val="0"/>
                <w:numId w:val="1"/>
              </w:numPr>
              <w:spacing w:after="160" w:line="259" w:lineRule="auto"/>
            </w:pPr>
            <w:r w:rsidRPr="009966DC">
              <w:t>Domov pro osoby se zdravotním postižením "PRAMEN" v Mnichově, příspěvková organizace</w:t>
            </w:r>
          </w:p>
        </w:tc>
      </w:tr>
      <w:tr w:rsidR="00D7028B" w:rsidRPr="009966DC" w14:paraId="77F4D6AF" w14:textId="77777777" w:rsidTr="00D7028B">
        <w:trPr>
          <w:trHeight w:val="300"/>
        </w:trPr>
        <w:tc>
          <w:tcPr>
            <w:tcW w:w="8646" w:type="dxa"/>
            <w:noWrap/>
            <w:hideMark/>
          </w:tcPr>
          <w:p w14:paraId="3F27818C" w14:textId="77777777" w:rsidR="00D7028B" w:rsidRPr="009966DC" w:rsidRDefault="00D7028B" w:rsidP="00EA603D">
            <w:pPr>
              <w:numPr>
                <w:ilvl w:val="0"/>
                <w:numId w:val="1"/>
              </w:numPr>
              <w:spacing w:after="160" w:line="259" w:lineRule="auto"/>
            </w:pPr>
            <w:r w:rsidRPr="009966DC">
              <w:t>Domov pro osoby se zdravotním postižením v Mariánské, příspěvková organizace</w:t>
            </w:r>
          </w:p>
        </w:tc>
      </w:tr>
      <w:tr w:rsidR="00D7028B" w:rsidRPr="009966DC" w14:paraId="5C07AB2C" w14:textId="77777777" w:rsidTr="00D7028B">
        <w:trPr>
          <w:trHeight w:val="300"/>
        </w:trPr>
        <w:tc>
          <w:tcPr>
            <w:tcW w:w="8646" w:type="dxa"/>
            <w:noWrap/>
            <w:hideMark/>
          </w:tcPr>
          <w:p w14:paraId="06DCECB1" w14:textId="77777777" w:rsidR="00D7028B" w:rsidRPr="009966DC" w:rsidRDefault="00D7028B" w:rsidP="00EA603D">
            <w:pPr>
              <w:numPr>
                <w:ilvl w:val="0"/>
                <w:numId w:val="1"/>
              </w:numPr>
              <w:spacing w:after="160" w:line="259" w:lineRule="auto"/>
            </w:pPr>
            <w:r w:rsidRPr="009966DC">
              <w:t>Domov pro osoby se zdravotním postižením v Radošově, příspěvková organizace</w:t>
            </w:r>
          </w:p>
        </w:tc>
      </w:tr>
      <w:tr w:rsidR="00D7028B" w:rsidRPr="009966DC" w14:paraId="19A7A574" w14:textId="77777777" w:rsidTr="00D7028B">
        <w:trPr>
          <w:trHeight w:val="300"/>
        </w:trPr>
        <w:tc>
          <w:tcPr>
            <w:tcW w:w="8646" w:type="dxa"/>
            <w:noWrap/>
            <w:hideMark/>
          </w:tcPr>
          <w:p w14:paraId="2D3E965F" w14:textId="77777777" w:rsidR="00D7028B" w:rsidRPr="009966DC" w:rsidRDefault="00D7028B" w:rsidP="00EA603D">
            <w:pPr>
              <w:numPr>
                <w:ilvl w:val="0"/>
                <w:numId w:val="1"/>
              </w:numPr>
              <w:spacing w:after="160" w:line="259" w:lineRule="auto"/>
            </w:pPr>
            <w:r w:rsidRPr="009966DC">
              <w:t>Domov se zvláštním režimem "MATYÁŠ" v Nejdku, příspěvková organizace</w:t>
            </w:r>
          </w:p>
        </w:tc>
      </w:tr>
      <w:tr w:rsidR="00D7028B" w:rsidRPr="009966DC" w14:paraId="229C536C" w14:textId="77777777" w:rsidTr="00D7028B">
        <w:trPr>
          <w:trHeight w:val="300"/>
        </w:trPr>
        <w:tc>
          <w:tcPr>
            <w:tcW w:w="8646" w:type="dxa"/>
            <w:noWrap/>
            <w:hideMark/>
          </w:tcPr>
          <w:p w14:paraId="4F8316BA" w14:textId="77777777" w:rsidR="00D7028B" w:rsidRPr="009966DC" w:rsidRDefault="00D7028B" w:rsidP="00EA603D">
            <w:pPr>
              <w:numPr>
                <w:ilvl w:val="0"/>
                <w:numId w:val="1"/>
              </w:numPr>
              <w:spacing w:after="160" w:line="259" w:lineRule="auto"/>
            </w:pPr>
            <w:r w:rsidRPr="009966DC">
              <w:t>Domov pro seniory v Perninku, příspěvková organizace</w:t>
            </w:r>
          </w:p>
        </w:tc>
      </w:tr>
      <w:tr w:rsidR="00D7028B" w:rsidRPr="009966DC" w14:paraId="1DCB4E2A" w14:textId="77777777" w:rsidTr="00D7028B">
        <w:trPr>
          <w:trHeight w:val="300"/>
        </w:trPr>
        <w:tc>
          <w:tcPr>
            <w:tcW w:w="8646" w:type="dxa"/>
            <w:noWrap/>
            <w:hideMark/>
          </w:tcPr>
          <w:p w14:paraId="62392847" w14:textId="77777777" w:rsidR="00D7028B" w:rsidRPr="009966DC" w:rsidRDefault="00D7028B" w:rsidP="00EA603D">
            <w:pPr>
              <w:numPr>
                <w:ilvl w:val="0"/>
                <w:numId w:val="1"/>
              </w:numPr>
              <w:spacing w:after="160" w:line="259" w:lineRule="auto"/>
            </w:pPr>
            <w:r w:rsidRPr="009966DC">
              <w:t>Domov pro seniory "SPÁLENIŠTĚ" v Chebu, příspěvková organizace</w:t>
            </w:r>
          </w:p>
        </w:tc>
      </w:tr>
      <w:tr w:rsidR="00D7028B" w:rsidRPr="009966DC" w14:paraId="61FA3C53" w14:textId="77777777" w:rsidTr="00D7028B">
        <w:trPr>
          <w:trHeight w:val="300"/>
        </w:trPr>
        <w:tc>
          <w:tcPr>
            <w:tcW w:w="8646" w:type="dxa"/>
            <w:noWrap/>
            <w:hideMark/>
          </w:tcPr>
          <w:p w14:paraId="1B826EE3" w14:textId="77777777" w:rsidR="00D7028B" w:rsidRPr="009966DC" w:rsidRDefault="00D7028B" w:rsidP="00EA603D">
            <w:pPr>
              <w:numPr>
                <w:ilvl w:val="0"/>
                <w:numId w:val="1"/>
              </w:numPr>
              <w:spacing w:after="160" w:line="259" w:lineRule="auto"/>
            </w:pPr>
            <w:r w:rsidRPr="009966DC">
              <w:t>Domov pro osoby se zdravotním postižením "SOKOLÍK" v Sokolově, příspěvková organizace</w:t>
            </w:r>
          </w:p>
        </w:tc>
      </w:tr>
      <w:tr w:rsidR="00FE6E11" w:rsidRPr="009966DC" w14:paraId="5023D0BD" w14:textId="77777777" w:rsidTr="00D7028B">
        <w:trPr>
          <w:trHeight w:val="300"/>
        </w:trPr>
        <w:tc>
          <w:tcPr>
            <w:tcW w:w="8646" w:type="dxa"/>
            <w:noWrap/>
          </w:tcPr>
          <w:p w14:paraId="42479B76" w14:textId="21B01328" w:rsidR="00FE6E11" w:rsidRPr="00FE6E11" w:rsidRDefault="00FE6E11" w:rsidP="00FE6E11">
            <w:pPr>
              <w:numPr>
                <w:ilvl w:val="0"/>
                <w:numId w:val="1"/>
              </w:numPr>
            </w:pPr>
            <w:r w:rsidRPr="009966DC">
              <w:t>Dětské centrum Karlovy Vary, příspěvková organizace</w:t>
            </w:r>
          </w:p>
        </w:tc>
      </w:tr>
      <w:tr w:rsidR="00FE6E11" w:rsidRPr="009966DC" w14:paraId="7AB826FF" w14:textId="77777777" w:rsidTr="00D7028B">
        <w:trPr>
          <w:trHeight w:val="300"/>
        </w:trPr>
        <w:tc>
          <w:tcPr>
            <w:tcW w:w="8646" w:type="dxa"/>
            <w:noWrap/>
          </w:tcPr>
          <w:p w14:paraId="36FBF379" w14:textId="5A594493" w:rsidR="00FE6E11" w:rsidRPr="008732DF" w:rsidRDefault="00FE6E11" w:rsidP="00FE6E11">
            <w:pPr>
              <w:pStyle w:val="Normln-Odstavec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8732DF">
              <w:rPr>
                <w:rFonts w:asciiTheme="minorHAnsi" w:hAnsiTheme="minorHAnsi" w:cstheme="minorHAnsi"/>
              </w:rPr>
              <w:t>Základní škola a střední škola Karlovy Vary, příspěvková organizace</w:t>
            </w:r>
          </w:p>
        </w:tc>
      </w:tr>
      <w:tr w:rsidR="00FE6E11" w:rsidRPr="009966DC" w14:paraId="06848E3C" w14:textId="77777777" w:rsidTr="00D7028B">
        <w:trPr>
          <w:trHeight w:val="300"/>
        </w:trPr>
        <w:tc>
          <w:tcPr>
            <w:tcW w:w="8646" w:type="dxa"/>
            <w:noWrap/>
          </w:tcPr>
          <w:p w14:paraId="3BFA25AF" w14:textId="7815DC6F" w:rsidR="00FE6E11" w:rsidRPr="008732DF" w:rsidRDefault="00FE6E11" w:rsidP="00FE6E11">
            <w:pPr>
              <w:pStyle w:val="Normln-Odstavec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8732DF">
              <w:rPr>
                <w:rFonts w:asciiTheme="minorHAnsi" w:hAnsiTheme="minorHAnsi" w:cstheme="minorHAnsi"/>
              </w:rPr>
              <w:t>Střední škola živnostenská Sokolov, příspěvková organizace</w:t>
            </w:r>
          </w:p>
        </w:tc>
      </w:tr>
      <w:tr w:rsidR="00FE6E11" w:rsidRPr="009966DC" w14:paraId="04BF2E8F" w14:textId="77777777" w:rsidTr="00D7028B">
        <w:trPr>
          <w:trHeight w:val="300"/>
        </w:trPr>
        <w:tc>
          <w:tcPr>
            <w:tcW w:w="8646" w:type="dxa"/>
            <w:noWrap/>
          </w:tcPr>
          <w:p w14:paraId="18B577BC" w14:textId="63A43CEA" w:rsidR="00FE6E11" w:rsidRPr="008732DF" w:rsidRDefault="00FE6E11" w:rsidP="00FE6E11">
            <w:pPr>
              <w:pStyle w:val="Normln-Odstavec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8732DF">
              <w:rPr>
                <w:rFonts w:asciiTheme="minorHAnsi" w:hAnsiTheme="minorHAnsi" w:cstheme="minorHAnsi"/>
              </w:rPr>
              <w:t>Integrovaná střední škola technická a ekonomická Sokolov, příspěvková organizace</w:t>
            </w:r>
          </w:p>
        </w:tc>
      </w:tr>
      <w:tr w:rsidR="00FE6E11" w:rsidRPr="009966DC" w14:paraId="111B6E50" w14:textId="77777777" w:rsidTr="00D7028B">
        <w:trPr>
          <w:trHeight w:val="300"/>
        </w:trPr>
        <w:tc>
          <w:tcPr>
            <w:tcW w:w="8646" w:type="dxa"/>
            <w:noWrap/>
          </w:tcPr>
          <w:p w14:paraId="2F8B612B" w14:textId="0D022BA6" w:rsidR="00FE6E11" w:rsidRPr="00FE6E11" w:rsidRDefault="00FE6E11" w:rsidP="00FE6E11">
            <w:pPr>
              <w:pStyle w:val="Normln-Odstavec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8732DF">
              <w:rPr>
                <w:rFonts w:asciiTheme="minorHAnsi" w:hAnsiTheme="minorHAnsi" w:cstheme="minorHAnsi"/>
              </w:rPr>
              <w:t>Střední škola logistická Dalovice, příspěvková organizace</w:t>
            </w:r>
          </w:p>
        </w:tc>
      </w:tr>
      <w:tr w:rsidR="00FE6E11" w:rsidRPr="009966DC" w14:paraId="6612ED1A" w14:textId="77777777" w:rsidTr="00D7028B">
        <w:trPr>
          <w:trHeight w:val="300"/>
        </w:trPr>
        <w:tc>
          <w:tcPr>
            <w:tcW w:w="8646" w:type="dxa"/>
            <w:noWrap/>
          </w:tcPr>
          <w:p w14:paraId="7C7315A9" w14:textId="1869C961" w:rsidR="00FE6E11" w:rsidRPr="00FE6E11" w:rsidRDefault="00FE6E11" w:rsidP="00FE6E11">
            <w:pPr>
              <w:pStyle w:val="Normln-Odstavec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8732DF">
              <w:rPr>
                <w:rFonts w:asciiTheme="minorHAnsi" w:hAnsiTheme="minorHAnsi" w:cstheme="minorHAnsi"/>
              </w:rPr>
              <w:lastRenderedPageBreak/>
              <w:t>Střední zdravotnická škola a vyšší odborná škola Cheb, příspěvková organizace</w:t>
            </w:r>
          </w:p>
        </w:tc>
      </w:tr>
      <w:tr w:rsidR="00FE6E11" w:rsidRPr="009966DC" w14:paraId="60F410CE" w14:textId="77777777" w:rsidTr="00D7028B">
        <w:trPr>
          <w:trHeight w:val="300"/>
        </w:trPr>
        <w:tc>
          <w:tcPr>
            <w:tcW w:w="8646" w:type="dxa"/>
            <w:noWrap/>
          </w:tcPr>
          <w:p w14:paraId="7F1EF042" w14:textId="02EA64DA" w:rsidR="00FE6E11" w:rsidRPr="00FE6E11" w:rsidRDefault="00FE6E11" w:rsidP="00FE6E11">
            <w:pPr>
              <w:pStyle w:val="Normln-Odstavec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8732DF">
              <w:rPr>
                <w:rFonts w:asciiTheme="minorHAnsi" w:hAnsiTheme="minorHAnsi" w:cstheme="minorHAnsi"/>
              </w:rPr>
              <w:t>Integrovaná střední škola Cheb, příspěvková organizace</w:t>
            </w:r>
          </w:p>
        </w:tc>
      </w:tr>
      <w:tr w:rsidR="00FE6E11" w:rsidRPr="009966DC" w14:paraId="3A557DA7" w14:textId="77777777" w:rsidTr="00D7028B">
        <w:trPr>
          <w:trHeight w:val="300"/>
        </w:trPr>
        <w:tc>
          <w:tcPr>
            <w:tcW w:w="8646" w:type="dxa"/>
            <w:noWrap/>
          </w:tcPr>
          <w:p w14:paraId="0E35A05B" w14:textId="79B69139" w:rsidR="00FE6E11" w:rsidRPr="00FE6E11" w:rsidRDefault="00FE6E11" w:rsidP="00FE6E11">
            <w:pPr>
              <w:pStyle w:val="Normln-Odstavec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8732DF">
              <w:rPr>
                <w:rFonts w:asciiTheme="minorHAnsi" w:hAnsiTheme="minorHAnsi" w:cstheme="minorHAnsi"/>
              </w:rPr>
              <w:t>Dětský domov Cheb a Horní Slavkov, příspěvková organizace</w:t>
            </w:r>
          </w:p>
        </w:tc>
      </w:tr>
      <w:tr w:rsidR="00FE6E11" w:rsidRPr="009966DC" w14:paraId="44CA0F0E" w14:textId="77777777" w:rsidTr="00D7028B">
        <w:trPr>
          <w:trHeight w:val="300"/>
        </w:trPr>
        <w:tc>
          <w:tcPr>
            <w:tcW w:w="8646" w:type="dxa"/>
            <w:noWrap/>
          </w:tcPr>
          <w:p w14:paraId="7CC24B27" w14:textId="581E2979" w:rsidR="00FE6E11" w:rsidRPr="00FE6E11" w:rsidRDefault="00FE6E11" w:rsidP="00FE6E11">
            <w:pPr>
              <w:pStyle w:val="Normln-Odstavec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8732DF">
              <w:rPr>
                <w:rFonts w:asciiTheme="minorHAnsi" w:hAnsiTheme="minorHAnsi" w:cstheme="minorHAnsi"/>
              </w:rPr>
              <w:t>Dětský domov Mariánské Lázně a Aš, příspěvková organizace</w:t>
            </w:r>
          </w:p>
        </w:tc>
      </w:tr>
      <w:tr w:rsidR="00FE6E11" w:rsidRPr="009966DC" w14:paraId="1AD802BA" w14:textId="77777777" w:rsidTr="00D7028B">
        <w:trPr>
          <w:trHeight w:val="300"/>
        </w:trPr>
        <w:tc>
          <w:tcPr>
            <w:tcW w:w="8646" w:type="dxa"/>
            <w:noWrap/>
          </w:tcPr>
          <w:p w14:paraId="532DB079" w14:textId="23AF7549" w:rsidR="00FE6E11" w:rsidRPr="00FE6E11" w:rsidRDefault="00FE6E11" w:rsidP="00FE6E11">
            <w:pPr>
              <w:pStyle w:val="Normln-Odstavec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8732DF">
              <w:rPr>
                <w:rFonts w:asciiTheme="minorHAnsi" w:hAnsiTheme="minorHAnsi" w:cstheme="minorHAnsi"/>
              </w:rPr>
              <w:t>Sociální služby v Kynšperku nad Ohří, příspěvková organizace</w:t>
            </w:r>
          </w:p>
        </w:tc>
      </w:tr>
      <w:tr w:rsidR="00FE6E11" w:rsidRPr="009966DC" w14:paraId="0BD0DE98" w14:textId="77777777" w:rsidTr="00D7028B">
        <w:trPr>
          <w:trHeight w:val="300"/>
        </w:trPr>
        <w:tc>
          <w:tcPr>
            <w:tcW w:w="8646" w:type="dxa"/>
            <w:noWrap/>
          </w:tcPr>
          <w:p w14:paraId="6BED5B35" w14:textId="046906A4" w:rsidR="00FE6E11" w:rsidRPr="00FE6E11" w:rsidRDefault="00FE6E11" w:rsidP="00FE6E11">
            <w:pPr>
              <w:pStyle w:val="Normln-Odstavec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8732DF">
              <w:rPr>
                <w:rFonts w:asciiTheme="minorHAnsi" w:hAnsiTheme="minorHAnsi" w:cstheme="minorHAnsi"/>
              </w:rPr>
              <w:t>Zařízení následné rehabilitační a hospicové péče, příspěvková organizace</w:t>
            </w:r>
          </w:p>
        </w:tc>
      </w:tr>
      <w:tr w:rsidR="00FE6E11" w:rsidRPr="009966DC" w14:paraId="563F3307" w14:textId="77777777" w:rsidTr="00D7028B">
        <w:trPr>
          <w:trHeight w:val="300"/>
        </w:trPr>
        <w:tc>
          <w:tcPr>
            <w:tcW w:w="8646" w:type="dxa"/>
            <w:noWrap/>
          </w:tcPr>
          <w:p w14:paraId="66F814B4" w14:textId="11658B9F" w:rsidR="00FE6E11" w:rsidRPr="009966DC" w:rsidRDefault="00FE6E11" w:rsidP="00FE6E11">
            <w:pPr>
              <w:numPr>
                <w:ilvl w:val="0"/>
                <w:numId w:val="1"/>
              </w:numPr>
            </w:pPr>
            <w:r>
              <w:rPr>
                <w:rFonts w:cstheme="minorHAnsi"/>
              </w:rPr>
              <w:t>Bazén Karlovy Vary</w:t>
            </w:r>
          </w:p>
        </w:tc>
      </w:tr>
    </w:tbl>
    <w:p w14:paraId="67F4A4EA" w14:textId="049AB6D1" w:rsidR="009234C0" w:rsidRDefault="000207EC" w:rsidP="009234C0">
      <w:r>
        <w:t>Tab.:</w:t>
      </w:r>
      <w:r w:rsidR="00E330FC">
        <w:t xml:space="preserve"> seznam PO, které </w:t>
      </w:r>
      <w:r w:rsidR="00771E7B">
        <w:t>jsou</w:t>
      </w:r>
      <w:r w:rsidR="004756DF">
        <w:t xml:space="preserve"> </w:t>
      </w:r>
      <w:r w:rsidR="00771E7B">
        <w:t>v</w:t>
      </w:r>
      <w:r w:rsidR="004756DF">
        <w:t xml:space="preserve"> TCKK</w:t>
      </w:r>
    </w:p>
    <w:p w14:paraId="25D8EB27" w14:textId="77777777" w:rsidR="00BA3BF6" w:rsidRDefault="00BA3BF6" w:rsidP="00BA3BF6"/>
    <w:p w14:paraId="62F12891" w14:textId="2906E3E2" w:rsidR="00BA3BF6" w:rsidRDefault="00DA4813" w:rsidP="00705F5E">
      <w:pPr>
        <w:pStyle w:val="Nadpis3"/>
        <w:numPr>
          <w:ilvl w:val="1"/>
          <w:numId w:val="15"/>
        </w:numPr>
      </w:pPr>
      <w:r>
        <w:t>Výčet stávajících modulů a popis funkcionalit</w:t>
      </w:r>
    </w:p>
    <w:p w14:paraId="5D19CD0D" w14:textId="77777777" w:rsidR="001A358B" w:rsidRDefault="001A358B" w:rsidP="001A358B"/>
    <w:tbl>
      <w:tblPr>
        <w:tblStyle w:val="Mkatabulky"/>
        <w:tblW w:w="8648" w:type="dxa"/>
        <w:tblInd w:w="562" w:type="dxa"/>
        <w:tblLook w:val="04A0" w:firstRow="1" w:lastRow="0" w:firstColumn="1" w:lastColumn="0" w:noHBand="0" w:noVBand="1"/>
      </w:tblPr>
      <w:tblGrid>
        <w:gridCol w:w="1927"/>
        <w:gridCol w:w="6721"/>
      </w:tblGrid>
      <w:tr w:rsidR="00A5708A" w:rsidRPr="00174D4A" w14:paraId="4DA18C0F" w14:textId="77777777" w:rsidTr="000C2EFF">
        <w:tc>
          <w:tcPr>
            <w:tcW w:w="1927" w:type="dxa"/>
            <w:shd w:val="clear" w:color="auto" w:fill="D5DCE4" w:themeFill="text2" w:themeFillTint="33"/>
            <w:vAlign w:val="center"/>
          </w:tcPr>
          <w:p w14:paraId="54059D4C" w14:textId="77777777" w:rsidR="00A5708A" w:rsidRPr="00174D4A" w:rsidRDefault="00A5708A" w:rsidP="00EA603D">
            <w:pPr>
              <w:spacing w:before="40" w:after="40"/>
              <w:rPr>
                <w:rFonts w:cstheme="minorHAnsi"/>
                <w:szCs w:val="20"/>
              </w:rPr>
            </w:pPr>
            <w:r w:rsidRPr="00174D4A">
              <w:rPr>
                <w:rFonts w:cstheme="minorHAnsi"/>
                <w:szCs w:val="20"/>
              </w:rPr>
              <w:t>Modul</w:t>
            </w:r>
          </w:p>
        </w:tc>
        <w:tc>
          <w:tcPr>
            <w:tcW w:w="6721" w:type="dxa"/>
            <w:shd w:val="clear" w:color="auto" w:fill="D5DCE4" w:themeFill="text2" w:themeFillTint="33"/>
            <w:vAlign w:val="center"/>
          </w:tcPr>
          <w:p w14:paraId="76704F5D" w14:textId="77777777" w:rsidR="00A5708A" w:rsidRPr="00174D4A" w:rsidRDefault="00A5708A" w:rsidP="00EA603D">
            <w:pPr>
              <w:spacing w:before="40" w:after="40"/>
              <w:rPr>
                <w:rFonts w:cstheme="minorHAnsi"/>
                <w:szCs w:val="20"/>
              </w:rPr>
            </w:pPr>
            <w:r w:rsidRPr="00174D4A">
              <w:rPr>
                <w:rFonts w:cstheme="minorHAnsi"/>
                <w:szCs w:val="20"/>
              </w:rPr>
              <w:t>Popis funkcionalit</w:t>
            </w:r>
          </w:p>
        </w:tc>
      </w:tr>
      <w:tr w:rsidR="00A5708A" w:rsidRPr="00174D4A" w14:paraId="37090B8A" w14:textId="77777777" w:rsidTr="00F424C9">
        <w:tc>
          <w:tcPr>
            <w:tcW w:w="1927" w:type="dxa"/>
            <w:vAlign w:val="center"/>
          </w:tcPr>
          <w:p w14:paraId="4986FD3B" w14:textId="77777777" w:rsidR="00A5708A" w:rsidRPr="00174D4A" w:rsidRDefault="00A5708A" w:rsidP="00F424C9">
            <w:pPr>
              <w:spacing w:before="40" w:after="40"/>
              <w:jc w:val="center"/>
              <w:rPr>
                <w:rFonts w:cstheme="minorHAnsi"/>
                <w:szCs w:val="20"/>
              </w:rPr>
            </w:pPr>
            <w:r w:rsidRPr="00174D4A">
              <w:rPr>
                <w:rFonts w:cstheme="minorHAnsi"/>
                <w:szCs w:val="20"/>
              </w:rPr>
              <w:t>UCR</w:t>
            </w:r>
          </w:p>
          <w:p w14:paraId="5AAD9BD8" w14:textId="77777777" w:rsidR="00A5708A" w:rsidRPr="00174D4A" w:rsidRDefault="00A5708A" w:rsidP="00F424C9">
            <w:pPr>
              <w:spacing w:before="40" w:after="40"/>
              <w:jc w:val="center"/>
              <w:rPr>
                <w:rFonts w:cstheme="minorHAnsi"/>
                <w:szCs w:val="20"/>
              </w:rPr>
            </w:pPr>
            <w:r w:rsidRPr="00174D4A">
              <w:rPr>
                <w:rFonts w:cstheme="minorHAnsi"/>
                <w:szCs w:val="20"/>
              </w:rPr>
              <w:t>Účetnictví a rozpočet</w:t>
            </w:r>
          </w:p>
        </w:tc>
        <w:tc>
          <w:tcPr>
            <w:tcW w:w="6721" w:type="dxa"/>
            <w:vAlign w:val="center"/>
          </w:tcPr>
          <w:p w14:paraId="51409E63" w14:textId="77777777" w:rsidR="00A5708A" w:rsidRPr="00DA4813" w:rsidRDefault="00A5708A" w:rsidP="00F424C9">
            <w:pPr>
              <w:spacing w:before="40" w:after="40"/>
              <w:jc w:val="both"/>
              <w:rPr>
                <w:rFonts w:cstheme="minorHAnsi"/>
              </w:rPr>
            </w:pPr>
            <w:r w:rsidRPr="00F424C9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Účetní zápisy včetně automatizovaných zápisů PAP, rozpočtové zápisy včetně možnosti pořízení schváleného rozpočtu, výkaznictví, rozborové přehledy, kontrolní sestavy účetnictví i rozpočtu, odesílání výkazů v elektronické podobě do CSÚIS (Centrální systém účetních informací státu), možnost výstupních dávek dat</w:t>
            </w:r>
          </w:p>
        </w:tc>
      </w:tr>
      <w:tr w:rsidR="00A5708A" w:rsidRPr="00174D4A" w14:paraId="5E129E88" w14:textId="77777777" w:rsidTr="00F424C9">
        <w:tc>
          <w:tcPr>
            <w:tcW w:w="1927" w:type="dxa"/>
            <w:vAlign w:val="center"/>
          </w:tcPr>
          <w:p w14:paraId="710C8339" w14:textId="77777777" w:rsidR="00A5708A" w:rsidRPr="00174D4A" w:rsidRDefault="00A5708A" w:rsidP="00F424C9">
            <w:pPr>
              <w:spacing w:before="40" w:after="40"/>
              <w:jc w:val="center"/>
              <w:rPr>
                <w:rFonts w:cstheme="minorHAnsi"/>
                <w:szCs w:val="20"/>
              </w:rPr>
            </w:pPr>
            <w:r w:rsidRPr="00174D4A">
              <w:rPr>
                <w:rFonts w:cstheme="minorHAnsi"/>
                <w:szCs w:val="20"/>
              </w:rPr>
              <w:t>EMA</w:t>
            </w:r>
          </w:p>
          <w:p w14:paraId="08131699" w14:textId="77777777" w:rsidR="00A5708A" w:rsidRPr="00174D4A" w:rsidRDefault="00A5708A" w:rsidP="00F424C9">
            <w:pPr>
              <w:spacing w:before="40" w:after="40"/>
              <w:jc w:val="center"/>
              <w:rPr>
                <w:rFonts w:cstheme="minorHAnsi"/>
                <w:szCs w:val="20"/>
              </w:rPr>
            </w:pPr>
            <w:r w:rsidRPr="00174D4A">
              <w:rPr>
                <w:rFonts w:cstheme="minorHAnsi"/>
                <w:szCs w:val="20"/>
              </w:rPr>
              <w:t>Evidence majetku</w:t>
            </w:r>
          </w:p>
          <w:p w14:paraId="5F56ACD8" w14:textId="77777777" w:rsidR="00A5708A" w:rsidRPr="00174D4A" w:rsidRDefault="00A5708A" w:rsidP="00F424C9">
            <w:pPr>
              <w:spacing w:before="40" w:after="40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6721" w:type="dxa"/>
            <w:vAlign w:val="center"/>
          </w:tcPr>
          <w:p w14:paraId="1B31BC54" w14:textId="5C6CBF50" w:rsidR="00A5708A" w:rsidRPr="00DA4813" w:rsidRDefault="00A5708A" w:rsidP="00F424C9">
            <w:pPr>
              <w:spacing w:before="40" w:after="40"/>
              <w:jc w:val="both"/>
              <w:rPr>
                <w:rFonts w:cstheme="minorHAnsi"/>
              </w:rPr>
            </w:pPr>
            <w:r w:rsidRPr="00DA4813">
              <w:rPr>
                <w:rFonts w:cstheme="minorHAnsi"/>
              </w:rPr>
              <w:t>Evidence všech majetkových skupin dle číselníků CZ-CPA, CZ-CC, K-POZ s možností provádění účetních i daňových odpisů Na majetkových kartách je možnost evidence mimo nutných hodnot jako jsou například inventární číslo, název, SU/AU evidence, aj. také umístění, odpovědné pracovníky, různé další doplňkové informace včetně fotografického zobrazení daného majetku (vhodná spojená evidence pro uplatnění pojistných událostí apod.)</w:t>
            </w:r>
            <w:r w:rsidRPr="00F424C9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, evidence rozšířeného profilu pozemků. Možnost tisku zařazovacích i vyřazovacích protokolů přímo z modulu.</w:t>
            </w:r>
            <w:r w:rsidR="000E2BE5" w:rsidRPr="00F424C9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A4813">
              <w:rPr>
                <w:rFonts w:cstheme="minorHAnsi"/>
              </w:rPr>
              <w:t>Pro inventarizaci majetku bude v případě potřeby možné využít čtečku čárových kódů (podpora exportu „očekávané“ inventury do čtečky, podpora importu inventury ze čtečky)</w:t>
            </w:r>
          </w:p>
        </w:tc>
      </w:tr>
      <w:tr w:rsidR="00A5708A" w:rsidRPr="00174D4A" w14:paraId="6A39DD21" w14:textId="77777777" w:rsidTr="00F424C9">
        <w:tc>
          <w:tcPr>
            <w:tcW w:w="1927" w:type="dxa"/>
            <w:vAlign w:val="center"/>
          </w:tcPr>
          <w:p w14:paraId="0B58B435" w14:textId="77777777" w:rsidR="00A5708A" w:rsidRPr="00174D4A" w:rsidRDefault="00A5708A" w:rsidP="00F424C9">
            <w:pPr>
              <w:spacing w:before="40" w:after="40"/>
              <w:jc w:val="center"/>
              <w:rPr>
                <w:rFonts w:cstheme="minorHAnsi"/>
                <w:szCs w:val="20"/>
              </w:rPr>
            </w:pPr>
            <w:r w:rsidRPr="00174D4A">
              <w:rPr>
                <w:rFonts w:cstheme="minorHAnsi"/>
                <w:szCs w:val="20"/>
              </w:rPr>
              <w:t>KXF</w:t>
            </w:r>
          </w:p>
          <w:p w14:paraId="6505FED6" w14:textId="77777777" w:rsidR="00A5708A" w:rsidRPr="00174D4A" w:rsidRDefault="00A5708A" w:rsidP="00F424C9">
            <w:pPr>
              <w:spacing w:before="40" w:after="40"/>
              <w:jc w:val="center"/>
              <w:rPr>
                <w:rFonts w:cstheme="minorHAnsi"/>
                <w:szCs w:val="20"/>
              </w:rPr>
            </w:pPr>
            <w:r w:rsidRPr="00174D4A">
              <w:rPr>
                <w:rFonts w:cstheme="minorHAnsi"/>
                <w:szCs w:val="20"/>
              </w:rPr>
              <w:t>Komunikace s bankou</w:t>
            </w:r>
          </w:p>
        </w:tc>
        <w:tc>
          <w:tcPr>
            <w:tcW w:w="6721" w:type="dxa"/>
            <w:vAlign w:val="center"/>
          </w:tcPr>
          <w:p w14:paraId="320E50AD" w14:textId="52F434F5" w:rsidR="00A5708A" w:rsidRPr="00F424C9" w:rsidRDefault="00A5708A" w:rsidP="00F424C9">
            <w:pPr>
              <w:pStyle w:val="pf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24C9">
              <w:rPr>
                <w:rFonts w:asciiTheme="minorHAnsi" w:hAnsiTheme="minorHAnsi" w:cstheme="minorHAnsi"/>
                <w:sz w:val="22"/>
                <w:szCs w:val="22"/>
              </w:rPr>
              <w:t>Automatické propojení závazků a pohledávek s bankovním softwarem, s možností nastavení na daný typ banky a její datové rozhraní, načítání elektronických bankovních výpisů a jejich účtování, běžné a stále se opakující případy pomocí přednastavených automatických kontací,</w:t>
            </w:r>
            <w:r w:rsidRPr="00F424C9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případně dle návrhu zaúčtování, které probíhá již při načtení bankovního výpisu zcela automaticky. </w:t>
            </w:r>
            <w:r w:rsidRPr="00F424C9">
              <w:rPr>
                <w:rFonts w:asciiTheme="minorHAnsi" w:hAnsiTheme="minorHAnsi" w:cstheme="minorHAnsi"/>
                <w:sz w:val="22"/>
                <w:szCs w:val="22"/>
              </w:rPr>
              <w:t xml:space="preserve"> ostatní možné účtovat „klasicky“ ručně. Kontrola úplnosti zaúčtování, pokud není zaúčtován celý výpis stále se nabízí k účtování, zamezí se tím přeskočení položek výpisů. </w:t>
            </w:r>
            <w:r w:rsidRPr="00F424C9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Možnost zobrazení obratů daného dodavatele či odběratele přes více let.</w:t>
            </w:r>
          </w:p>
        </w:tc>
      </w:tr>
      <w:tr w:rsidR="00A5708A" w:rsidRPr="00174D4A" w14:paraId="1C8B6FE6" w14:textId="77777777" w:rsidTr="00F424C9">
        <w:tc>
          <w:tcPr>
            <w:tcW w:w="1927" w:type="dxa"/>
            <w:vAlign w:val="center"/>
          </w:tcPr>
          <w:p w14:paraId="48E5247D" w14:textId="77777777" w:rsidR="00A5708A" w:rsidRPr="00174D4A" w:rsidRDefault="00A5708A" w:rsidP="00F424C9">
            <w:pPr>
              <w:spacing w:before="40" w:after="40"/>
              <w:jc w:val="center"/>
              <w:rPr>
                <w:rFonts w:cstheme="minorHAnsi"/>
                <w:szCs w:val="20"/>
              </w:rPr>
            </w:pPr>
            <w:r w:rsidRPr="00174D4A">
              <w:rPr>
                <w:rFonts w:cstheme="minorHAnsi"/>
                <w:szCs w:val="20"/>
              </w:rPr>
              <w:t>POK</w:t>
            </w:r>
          </w:p>
          <w:p w14:paraId="67BADE79" w14:textId="08610D60" w:rsidR="00A5708A" w:rsidRPr="00174D4A" w:rsidRDefault="00A5708A" w:rsidP="00F424C9">
            <w:pPr>
              <w:spacing w:before="40" w:after="40"/>
              <w:jc w:val="center"/>
              <w:rPr>
                <w:rFonts w:cstheme="minorHAnsi"/>
                <w:szCs w:val="20"/>
              </w:rPr>
            </w:pPr>
            <w:r w:rsidRPr="00174D4A">
              <w:rPr>
                <w:rFonts w:cstheme="minorHAnsi"/>
                <w:szCs w:val="20"/>
              </w:rPr>
              <w:t>Pokladna</w:t>
            </w:r>
          </w:p>
        </w:tc>
        <w:tc>
          <w:tcPr>
            <w:tcW w:w="6721" w:type="dxa"/>
            <w:vAlign w:val="center"/>
          </w:tcPr>
          <w:p w14:paraId="06F5BE1F" w14:textId="0E4ADF2A" w:rsidR="00A5708A" w:rsidRPr="00DA4813" w:rsidRDefault="00A5708A" w:rsidP="00F424C9">
            <w:pPr>
              <w:spacing w:before="40" w:after="40"/>
              <w:jc w:val="both"/>
              <w:rPr>
                <w:rFonts w:cstheme="minorHAnsi"/>
              </w:rPr>
            </w:pPr>
            <w:r w:rsidRPr="00DA4813">
              <w:rPr>
                <w:rFonts w:cstheme="minorHAnsi"/>
              </w:rPr>
              <w:t>Přehledná a jednoduchá evidence hotovostních i</w:t>
            </w:r>
            <w:r w:rsidRPr="00F424C9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bezhotovostních dokladů při propojení s platební terminálem</w:t>
            </w:r>
            <w:r w:rsidRPr="00DA4813">
              <w:rPr>
                <w:rFonts w:cstheme="minorHAnsi"/>
              </w:rPr>
              <w:t xml:space="preserve">, možnost nastavení účetních kontací tak aby i uživatel neznalý účetnictví byl schopen zvolit odpovídající kontace k pokladním dokladům. Možnost zadávání účetních dat z pokladny do účetnictví přímo nebo dávkově, tj. jednou měsíčně, týdně </w:t>
            </w:r>
            <w:r w:rsidRPr="00DA4813">
              <w:rPr>
                <w:rFonts w:cstheme="minorHAnsi"/>
              </w:rPr>
              <w:lastRenderedPageBreak/>
              <w:t xml:space="preserve">apod. </w:t>
            </w:r>
            <w:r w:rsidRPr="00F424C9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Pokladnu lze vést i jako valutovou </w:t>
            </w:r>
            <w:proofErr w:type="gramStart"/>
            <w:r w:rsidRPr="00F424C9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pokladnu</w:t>
            </w:r>
            <w:proofErr w:type="gramEnd"/>
            <w:r w:rsidRPr="00F424C9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a to s možností jedinečné konfigurace každé z nich.</w:t>
            </w:r>
          </w:p>
        </w:tc>
      </w:tr>
      <w:tr w:rsidR="00A5708A" w:rsidRPr="00174D4A" w14:paraId="5D3B597F" w14:textId="77777777" w:rsidTr="00F424C9">
        <w:tc>
          <w:tcPr>
            <w:tcW w:w="1927" w:type="dxa"/>
            <w:vAlign w:val="center"/>
          </w:tcPr>
          <w:p w14:paraId="2C508CB8" w14:textId="77777777" w:rsidR="00A5708A" w:rsidRPr="00174D4A" w:rsidRDefault="00A5708A" w:rsidP="00F424C9">
            <w:pPr>
              <w:spacing w:before="40" w:after="40"/>
              <w:jc w:val="center"/>
              <w:rPr>
                <w:rFonts w:cstheme="minorHAnsi"/>
                <w:szCs w:val="20"/>
              </w:rPr>
            </w:pPr>
            <w:r w:rsidRPr="00174D4A">
              <w:rPr>
                <w:rFonts w:cstheme="minorHAnsi"/>
                <w:szCs w:val="20"/>
              </w:rPr>
              <w:lastRenderedPageBreak/>
              <w:t>KOF</w:t>
            </w:r>
          </w:p>
          <w:p w14:paraId="2933313B" w14:textId="77777777" w:rsidR="00A5708A" w:rsidRPr="00174D4A" w:rsidRDefault="00A5708A" w:rsidP="00F424C9">
            <w:pPr>
              <w:spacing w:before="40" w:after="40"/>
              <w:jc w:val="center"/>
              <w:rPr>
                <w:rFonts w:cstheme="minorHAnsi"/>
                <w:szCs w:val="20"/>
              </w:rPr>
            </w:pPr>
            <w:r w:rsidRPr="00174D4A">
              <w:rPr>
                <w:rFonts w:cstheme="minorHAnsi"/>
                <w:szCs w:val="20"/>
              </w:rPr>
              <w:t>Kniha odeslaných faktury</w:t>
            </w:r>
          </w:p>
        </w:tc>
        <w:tc>
          <w:tcPr>
            <w:tcW w:w="6721" w:type="dxa"/>
            <w:vAlign w:val="center"/>
          </w:tcPr>
          <w:p w14:paraId="2BF47BBA" w14:textId="77777777" w:rsidR="00A5708A" w:rsidRPr="00DA4813" w:rsidRDefault="00A5708A" w:rsidP="00F424C9">
            <w:pPr>
              <w:spacing w:before="40" w:after="40"/>
              <w:jc w:val="both"/>
              <w:rPr>
                <w:rFonts w:cstheme="minorHAnsi"/>
              </w:rPr>
            </w:pPr>
            <w:r w:rsidRPr="00F424C9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Evidence odeslaných faktur (včetně penalizačních faktur, dobropisů, zálohových faktur a vyúčtovacích zálohových faktur) s možností připojení el. Příloh a výpočtu opravných položek. Modul dále nabízí možnost pořízení jednotlivých řad faktur s nastavením oprávnění pro jednotlivé uživatele. Samozřejmostí je elektronické odbavení faktur e-mailem včetně vystavení </w:t>
            </w:r>
            <w:proofErr w:type="spellStart"/>
            <w:r w:rsidRPr="00F424C9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eFaktury</w:t>
            </w:r>
            <w:proofErr w:type="spellEnd"/>
            <w:r w:rsidRPr="00F424C9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(ISDOC, UBLUN/CEFAC). Evidence kompletní historie práce s dokladem.</w:t>
            </w:r>
          </w:p>
        </w:tc>
      </w:tr>
      <w:tr w:rsidR="00A5708A" w:rsidRPr="00174D4A" w14:paraId="176F60FE" w14:textId="77777777" w:rsidTr="00F424C9">
        <w:tc>
          <w:tcPr>
            <w:tcW w:w="1927" w:type="dxa"/>
            <w:vAlign w:val="center"/>
          </w:tcPr>
          <w:p w14:paraId="48E54F8D" w14:textId="77777777" w:rsidR="00A5708A" w:rsidRPr="00174D4A" w:rsidRDefault="00A5708A" w:rsidP="00F424C9">
            <w:pPr>
              <w:spacing w:before="40" w:after="40"/>
              <w:jc w:val="center"/>
              <w:rPr>
                <w:rFonts w:cstheme="minorHAnsi"/>
                <w:szCs w:val="20"/>
              </w:rPr>
            </w:pPr>
            <w:r w:rsidRPr="00174D4A">
              <w:rPr>
                <w:rFonts w:cstheme="minorHAnsi"/>
                <w:szCs w:val="20"/>
              </w:rPr>
              <w:t>KDF</w:t>
            </w:r>
          </w:p>
          <w:p w14:paraId="2029BC13" w14:textId="77777777" w:rsidR="00A5708A" w:rsidRPr="00174D4A" w:rsidRDefault="00A5708A" w:rsidP="00F424C9">
            <w:pPr>
              <w:spacing w:before="40" w:after="40"/>
              <w:jc w:val="center"/>
              <w:rPr>
                <w:rFonts w:cstheme="minorHAnsi"/>
                <w:szCs w:val="20"/>
              </w:rPr>
            </w:pPr>
            <w:r w:rsidRPr="00174D4A">
              <w:rPr>
                <w:rFonts w:cstheme="minorHAnsi"/>
                <w:szCs w:val="20"/>
              </w:rPr>
              <w:t>Kniha došlých faktur</w:t>
            </w:r>
          </w:p>
        </w:tc>
        <w:tc>
          <w:tcPr>
            <w:tcW w:w="6721" w:type="dxa"/>
            <w:vAlign w:val="center"/>
          </w:tcPr>
          <w:p w14:paraId="7C20F54C" w14:textId="77777777" w:rsidR="00A5708A" w:rsidRPr="00DA4813" w:rsidRDefault="00A5708A" w:rsidP="00F424C9">
            <w:pPr>
              <w:spacing w:before="40" w:after="40"/>
              <w:jc w:val="both"/>
              <w:rPr>
                <w:rFonts w:cstheme="minorHAnsi"/>
              </w:rPr>
            </w:pPr>
            <w:r w:rsidRPr="00F424C9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Evidence došlých faktur a poukazů (včetně penalizačních faktur, dobropisů, zálohových faktur a vyúčtovacích zálohových faktur) s možností připojení el. Příloh. Modul dále nabízí možnost pořízení jednotlivých řad faktur s nastavením oprávnění pro jednotlivé uživatele. Samozřejmostí je elektronické načtení </w:t>
            </w:r>
            <w:proofErr w:type="spellStart"/>
            <w:r w:rsidRPr="00F424C9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eFaktury</w:t>
            </w:r>
            <w:proofErr w:type="spellEnd"/>
            <w:r w:rsidRPr="00F424C9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(ISDOC, UBLUN/CEFAC). Evidence kompletní historie práce s dokladem.</w:t>
            </w:r>
          </w:p>
        </w:tc>
      </w:tr>
      <w:tr w:rsidR="000C2EFF" w:rsidRPr="00174D4A" w14:paraId="7C475D07" w14:textId="77777777" w:rsidTr="00F424C9">
        <w:tc>
          <w:tcPr>
            <w:tcW w:w="1927" w:type="dxa"/>
            <w:vAlign w:val="center"/>
          </w:tcPr>
          <w:p w14:paraId="5E7B8566" w14:textId="2135E2DC" w:rsidR="000C2EFF" w:rsidRPr="00AD1CD7" w:rsidRDefault="000C2EFF" w:rsidP="00F424C9">
            <w:pPr>
              <w:spacing w:after="120"/>
              <w:jc w:val="center"/>
              <w:rPr>
                <w:rFonts w:cstheme="minorHAnsi"/>
                <w:szCs w:val="24"/>
              </w:rPr>
            </w:pPr>
            <w:r w:rsidRPr="00AD1CD7">
              <w:rPr>
                <w:rFonts w:cstheme="minorHAnsi"/>
                <w:szCs w:val="24"/>
              </w:rPr>
              <w:t>OBJ</w:t>
            </w:r>
          </w:p>
          <w:p w14:paraId="66E324D6" w14:textId="43B99490" w:rsidR="000C2EFF" w:rsidRPr="00174D4A" w:rsidRDefault="000C2EFF" w:rsidP="00F424C9">
            <w:pPr>
              <w:spacing w:before="40" w:after="40"/>
              <w:jc w:val="center"/>
              <w:rPr>
                <w:rFonts w:cstheme="minorHAnsi"/>
                <w:szCs w:val="20"/>
              </w:rPr>
            </w:pPr>
            <w:r w:rsidRPr="00AD1CD7">
              <w:rPr>
                <w:rFonts w:cstheme="minorHAnsi"/>
                <w:szCs w:val="24"/>
              </w:rPr>
              <w:t>Objednávky a smlouvy</w:t>
            </w:r>
          </w:p>
        </w:tc>
        <w:tc>
          <w:tcPr>
            <w:tcW w:w="6721" w:type="dxa"/>
          </w:tcPr>
          <w:p w14:paraId="33090667" w14:textId="4185317A" w:rsidR="000C2EFF" w:rsidRPr="00F424C9" w:rsidRDefault="000C2EFF" w:rsidP="00F424C9">
            <w:pPr>
              <w:spacing w:before="40" w:after="40"/>
              <w:jc w:val="both"/>
              <w:rPr>
                <w:rStyle w:val="cf01"/>
                <w:rFonts w:asciiTheme="minorHAnsi" w:hAnsiTheme="minorHAnsi" w:cstheme="minorHAnsi"/>
                <w:sz w:val="22"/>
                <w:szCs w:val="22"/>
              </w:rPr>
            </w:pPr>
            <w:bookmarkStart w:id="0" w:name="_Hlk116906096"/>
            <w:r w:rsidRPr="00DA4813">
              <w:rPr>
                <w:rFonts w:cstheme="minorHAnsi"/>
              </w:rPr>
              <w:t>Přehledná evidence objednávek, smluv a dalších dokumentů i s nimi spojených dokladů. Modul umožn</w:t>
            </w:r>
            <w:r w:rsidRPr="00DA4813">
              <w:t>í</w:t>
            </w:r>
            <w:r w:rsidRPr="00DA4813">
              <w:rPr>
                <w:rFonts w:cstheme="minorHAnsi"/>
              </w:rPr>
              <w:t xml:space="preserve"> ukládání libovolných elektronických příloh a přímé zveřejňování smluv do Registru smluv. Samozřejmostí je odesílání objednávek e-mailem nebo pořízení různých řad s oprávněními pro uživatele.</w:t>
            </w:r>
            <w:bookmarkEnd w:id="0"/>
          </w:p>
        </w:tc>
      </w:tr>
      <w:tr w:rsidR="000C2EFF" w:rsidRPr="00174D4A" w14:paraId="3C265BED" w14:textId="77777777" w:rsidTr="00F424C9">
        <w:tc>
          <w:tcPr>
            <w:tcW w:w="1927" w:type="dxa"/>
            <w:vAlign w:val="center"/>
          </w:tcPr>
          <w:p w14:paraId="36F12435" w14:textId="665469AA" w:rsidR="000C2EFF" w:rsidRPr="00AD1CD7" w:rsidRDefault="000C2EFF" w:rsidP="00F424C9">
            <w:pPr>
              <w:spacing w:after="120"/>
              <w:jc w:val="center"/>
              <w:rPr>
                <w:rFonts w:cstheme="minorHAnsi"/>
                <w:szCs w:val="24"/>
              </w:rPr>
            </w:pPr>
            <w:r w:rsidRPr="00AD1CD7">
              <w:rPr>
                <w:rFonts w:cstheme="minorHAnsi"/>
                <w:szCs w:val="24"/>
              </w:rPr>
              <w:t>EPK</w:t>
            </w:r>
          </w:p>
          <w:p w14:paraId="79CE78EB" w14:textId="5C06DE1E" w:rsidR="000C2EFF" w:rsidRPr="00174D4A" w:rsidRDefault="000C2EFF" w:rsidP="00F424C9">
            <w:pPr>
              <w:spacing w:before="40" w:after="40"/>
              <w:jc w:val="center"/>
              <w:rPr>
                <w:rFonts w:cstheme="minorHAnsi"/>
                <w:szCs w:val="20"/>
              </w:rPr>
            </w:pPr>
            <w:r w:rsidRPr="00AD1CD7">
              <w:rPr>
                <w:rFonts w:cstheme="minorHAnsi"/>
                <w:szCs w:val="24"/>
              </w:rPr>
              <w:t>Elektronická podpisová kniha</w:t>
            </w:r>
          </w:p>
        </w:tc>
        <w:tc>
          <w:tcPr>
            <w:tcW w:w="6721" w:type="dxa"/>
          </w:tcPr>
          <w:p w14:paraId="0E840F13" w14:textId="77777777" w:rsidR="000C2EFF" w:rsidRPr="00DA4813" w:rsidRDefault="000C2EFF" w:rsidP="00DA4813">
            <w:pPr>
              <w:spacing w:after="120"/>
              <w:jc w:val="both"/>
              <w:rPr>
                <w:rFonts w:cstheme="minorHAnsi"/>
              </w:rPr>
            </w:pPr>
            <w:bookmarkStart w:id="1" w:name="_Hlk116906001"/>
            <w:r w:rsidRPr="00DA4813">
              <w:rPr>
                <w:rFonts w:cstheme="minorHAnsi"/>
              </w:rPr>
              <w:t xml:space="preserve">Podepisování dokumentů, které byly předány k elektronické finanční kontrole. </w:t>
            </w:r>
            <w:bookmarkEnd w:id="1"/>
            <w:r w:rsidRPr="00DA4813">
              <w:rPr>
                <w:rFonts w:cstheme="minorHAnsi"/>
              </w:rPr>
              <w:t>Modul elektronická podpisová kniha EPK úzce spolupracuje s moduly KDF, KOF, OBJ. Dle zadaného scénáře navržené elektronické finanční kontroly modul EPK připojuje elektronické podpisy průvodkám jednotlivým dokumentům. Všechny kroky procesu schvalování jsou zaznamenány v historii.</w:t>
            </w:r>
          </w:p>
          <w:p w14:paraId="0101C670" w14:textId="77777777" w:rsidR="000C2EFF" w:rsidRPr="00F424C9" w:rsidRDefault="000C2EFF" w:rsidP="00F424C9">
            <w:pPr>
              <w:spacing w:before="40" w:after="40"/>
              <w:jc w:val="both"/>
              <w:rPr>
                <w:rStyle w:val="cf01"/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815CA9D" w14:textId="77777777" w:rsidR="00A61BAF" w:rsidRPr="00A61BAF" w:rsidRDefault="00A61BAF" w:rsidP="00A61BAF"/>
    <w:p w14:paraId="5C35B05C" w14:textId="77777777" w:rsidR="006D3710" w:rsidRPr="00A30FD9" w:rsidRDefault="006D3710" w:rsidP="006D3710">
      <w:pPr>
        <w:pStyle w:val="Odstavecseseznamem"/>
        <w:ind w:left="851"/>
      </w:pPr>
    </w:p>
    <w:p w14:paraId="484D16E0" w14:textId="044F0B56" w:rsidR="00A33CFA" w:rsidRDefault="00B55BD6" w:rsidP="00705F5E">
      <w:pPr>
        <w:pStyle w:val="Nadpis3"/>
        <w:numPr>
          <w:ilvl w:val="1"/>
          <w:numId w:val="15"/>
        </w:numPr>
      </w:pPr>
      <w:r>
        <w:t>Požadované paušální služby – hrazené v měsíčním paušálním poplatku</w:t>
      </w:r>
    </w:p>
    <w:p w14:paraId="4EA65DF3" w14:textId="08A7C55F" w:rsidR="002122DE" w:rsidRPr="002122DE" w:rsidRDefault="002122DE" w:rsidP="002122DE">
      <w:pPr>
        <w:ind w:left="284"/>
      </w:pPr>
    </w:p>
    <w:p w14:paraId="4A190FFA" w14:textId="093C635D" w:rsidR="00EC34C8" w:rsidRDefault="00EC34C8" w:rsidP="0094648B">
      <w:pPr>
        <w:pStyle w:val="Odstavecseseznamem"/>
        <w:numPr>
          <w:ilvl w:val="0"/>
          <w:numId w:val="36"/>
        </w:numPr>
        <w:ind w:left="851" w:hanging="567"/>
        <w:jc w:val="both"/>
      </w:pPr>
      <w:r w:rsidRPr="00A30FD9">
        <w:t>Pro hlášení servisní</w:t>
      </w:r>
      <w:r w:rsidR="00DA4813">
        <w:t>ch</w:t>
      </w:r>
      <w:r w:rsidRPr="00A30FD9">
        <w:t xml:space="preserve"> požadavků zajistí </w:t>
      </w:r>
      <w:r w:rsidR="0094648B">
        <w:t>Poskytovatel servisní služby</w:t>
      </w:r>
      <w:r>
        <w:t xml:space="preserve"> (</w:t>
      </w:r>
      <w:r w:rsidR="0094648B">
        <w:t>dále jen „</w:t>
      </w:r>
      <w:r w:rsidR="00503B26">
        <w:t>p</w:t>
      </w:r>
      <w:r w:rsidR="0094648B">
        <w:t>oskytovatel“</w:t>
      </w:r>
      <w:r>
        <w:t>)</w:t>
      </w:r>
      <w:r w:rsidRPr="00A30FD9">
        <w:t xml:space="preserve"> Z</w:t>
      </w:r>
      <w:r>
        <w:t>ada</w:t>
      </w:r>
      <w:r w:rsidRPr="00A30FD9">
        <w:t>v</w:t>
      </w:r>
      <w:r>
        <w:t>at</w:t>
      </w:r>
      <w:r w:rsidRPr="00A30FD9">
        <w:t xml:space="preserve">eli přístup ke svému </w:t>
      </w:r>
      <w:proofErr w:type="spellStart"/>
      <w:r w:rsidRPr="00A30FD9">
        <w:t>helpdeskovému</w:t>
      </w:r>
      <w:proofErr w:type="spellEnd"/>
      <w:r w:rsidRPr="00A30FD9">
        <w:t xml:space="preserve"> systém</w:t>
      </w:r>
      <w:r>
        <w:t>u</w:t>
      </w:r>
      <w:r w:rsidRPr="00A30FD9">
        <w:t xml:space="preserve"> s on-line přístupem pro kompletní správu</w:t>
      </w:r>
      <w:r w:rsidR="00906975">
        <w:t xml:space="preserve"> p</w:t>
      </w:r>
      <w:r w:rsidRPr="00A30FD9">
        <w:t xml:space="preserve">ožadavků včetně uchování historie požadavků a jejich řešení. Detailní popis </w:t>
      </w:r>
      <w:proofErr w:type="spellStart"/>
      <w:r w:rsidRPr="00A30FD9">
        <w:t>helpdeskového</w:t>
      </w:r>
      <w:proofErr w:type="spellEnd"/>
      <w:r w:rsidRPr="00A30FD9">
        <w:t xml:space="preserve"> systému a jeho obsluhy musí být součástí nabídky. Provozní doba </w:t>
      </w:r>
      <w:proofErr w:type="spellStart"/>
      <w:r w:rsidRPr="00A30FD9">
        <w:t>helpdeskového</w:t>
      </w:r>
      <w:proofErr w:type="spellEnd"/>
      <w:r w:rsidRPr="00A30FD9">
        <w:t xml:space="preserve"> systému musí být minimálně 7-17 hod. v pracovních dnech</w:t>
      </w:r>
    </w:p>
    <w:p w14:paraId="35EC3750" w14:textId="252651B3" w:rsidR="009F5839" w:rsidRDefault="009F5839" w:rsidP="00705F5E">
      <w:pPr>
        <w:pStyle w:val="Odstavecseseznamem"/>
        <w:numPr>
          <w:ilvl w:val="0"/>
          <w:numId w:val="36"/>
        </w:numPr>
        <w:ind w:left="851" w:hanging="567"/>
      </w:pPr>
      <w:proofErr w:type="spellStart"/>
      <w:r>
        <w:t>Maintenance</w:t>
      </w:r>
      <w:proofErr w:type="spellEnd"/>
      <w:r>
        <w:t xml:space="preserve"> bude zahrnovat </w:t>
      </w:r>
      <w:r w:rsidR="00C70EB9">
        <w:t>minimálně</w:t>
      </w:r>
    </w:p>
    <w:p w14:paraId="507363D2" w14:textId="154FEAB7" w:rsidR="00A33CFA" w:rsidRDefault="00A33CFA" w:rsidP="00705F5E">
      <w:pPr>
        <w:pStyle w:val="Odstavecseseznamem"/>
        <w:numPr>
          <w:ilvl w:val="1"/>
          <w:numId w:val="37"/>
        </w:numPr>
      </w:pPr>
      <w:r>
        <w:t>Pravidelný legislativní update funkcionalit</w:t>
      </w:r>
    </w:p>
    <w:p w14:paraId="75C93DF6" w14:textId="59FED71C" w:rsidR="00A33CFA" w:rsidRDefault="00A33CFA" w:rsidP="00705F5E">
      <w:pPr>
        <w:pStyle w:val="Odstavecseseznamem"/>
        <w:numPr>
          <w:ilvl w:val="1"/>
          <w:numId w:val="37"/>
        </w:numPr>
      </w:pPr>
      <w:r>
        <w:t>1x ročně případný rozvojový update nových funkcí</w:t>
      </w:r>
    </w:p>
    <w:p w14:paraId="717FB326" w14:textId="4EF46F72" w:rsidR="00A33CFA" w:rsidRDefault="00EC34C8" w:rsidP="00705F5E">
      <w:pPr>
        <w:pStyle w:val="Odstavecseseznamem"/>
        <w:numPr>
          <w:ilvl w:val="0"/>
          <w:numId w:val="36"/>
        </w:numPr>
        <w:ind w:left="851" w:hanging="567"/>
      </w:pPr>
      <w:r>
        <w:t xml:space="preserve">Servisní služby: </w:t>
      </w:r>
      <w:r w:rsidR="00A33CFA">
        <w:t>Hotline a rozšířená podpora uživateli</w:t>
      </w:r>
    </w:p>
    <w:p w14:paraId="4B08A2E7" w14:textId="2FA65E90" w:rsidR="00A33CFA" w:rsidRDefault="00A33CFA" w:rsidP="00705F5E">
      <w:pPr>
        <w:pStyle w:val="Odstavecseseznamem"/>
        <w:numPr>
          <w:ilvl w:val="0"/>
          <w:numId w:val="38"/>
        </w:numPr>
      </w:pPr>
      <w:r>
        <w:t xml:space="preserve">Hotline (v rozsahu do 5 hodin za </w:t>
      </w:r>
      <w:r w:rsidR="00906975">
        <w:t>PO</w:t>
      </w:r>
      <w:r>
        <w:t xml:space="preserve"> ročně)</w:t>
      </w:r>
    </w:p>
    <w:p w14:paraId="255E598D" w14:textId="102C8540" w:rsidR="00A33CFA" w:rsidRDefault="00A33CFA" w:rsidP="00705F5E">
      <w:pPr>
        <w:pStyle w:val="Odstavecseseznamem"/>
        <w:numPr>
          <w:ilvl w:val="0"/>
          <w:numId w:val="38"/>
        </w:numPr>
      </w:pPr>
      <w:r>
        <w:t xml:space="preserve">Servisní zásah (v rozsahu do 5 hodin za </w:t>
      </w:r>
      <w:r w:rsidR="00906975">
        <w:t>PO</w:t>
      </w:r>
      <w:r>
        <w:t xml:space="preserve"> ročně)</w:t>
      </w:r>
    </w:p>
    <w:p w14:paraId="2F9E43B3" w14:textId="35B4B683" w:rsidR="00A33CFA" w:rsidRDefault="00A33CFA" w:rsidP="00705F5E">
      <w:pPr>
        <w:pStyle w:val="Odstavecseseznamem"/>
        <w:numPr>
          <w:ilvl w:val="0"/>
          <w:numId w:val="38"/>
        </w:numPr>
      </w:pPr>
      <w:r>
        <w:t xml:space="preserve">Požadavek na úpravu reportu (v rozsahu do </w:t>
      </w:r>
      <w:r w:rsidR="00E10BD5">
        <w:t xml:space="preserve">2 </w:t>
      </w:r>
      <w:r>
        <w:t xml:space="preserve">reportů za </w:t>
      </w:r>
      <w:r w:rsidR="00906975">
        <w:t>PO</w:t>
      </w:r>
      <w:r>
        <w:t xml:space="preserve"> ročně)</w:t>
      </w:r>
    </w:p>
    <w:p w14:paraId="796D3AE9" w14:textId="000F323C" w:rsidR="00A33CFA" w:rsidRPr="00A30FD9" w:rsidRDefault="00A33CFA" w:rsidP="00705F5E">
      <w:pPr>
        <w:pStyle w:val="Odstavecseseznamem"/>
        <w:numPr>
          <w:ilvl w:val="0"/>
          <w:numId w:val="38"/>
        </w:numPr>
      </w:pPr>
      <w:r>
        <w:t>Pomoc s roční uzávěrkou</w:t>
      </w:r>
      <w:r w:rsidR="00C773A6">
        <w:t xml:space="preserve"> </w:t>
      </w:r>
      <w:r>
        <w:t xml:space="preserve">(v rozsahu do 3 hodin za </w:t>
      </w:r>
      <w:r w:rsidR="00906975">
        <w:t>PO</w:t>
      </w:r>
      <w:r>
        <w:t xml:space="preserve"> ročně)</w:t>
      </w:r>
    </w:p>
    <w:p w14:paraId="4D5013BD" w14:textId="2400E1DC" w:rsidR="00C70EB9" w:rsidRDefault="00C70EB9" w:rsidP="00705F5E">
      <w:pPr>
        <w:pStyle w:val="Odstavecseseznamem"/>
        <w:numPr>
          <w:ilvl w:val="0"/>
          <w:numId w:val="36"/>
        </w:numPr>
        <w:ind w:left="851" w:hanging="567"/>
      </w:pPr>
      <w:r w:rsidRPr="00A0602C">
        <w:lastRenderedPageBreak/>
        <w:t>Poskytovatel je povinen vést o všech servisních zásazích průkaznou evidenci a na požádání ji poskytnout zadavateli.</w:t>
      </w:r>
    </w:p>
    <w:p w14:paraId="14121EF7" w14:textId="77777777" w:rsidR="00C70EB9" w:rsidRDefault="00C70EB9" w:rsidP="00705F5E">
      <w:pPr>
        <w:pStyle w:val="Odstavecseseznamem"/>
        <w:numPr>
          <w:ilvl w:val="0"/>
          <w:numId w:val="36"/>
        </w:numPr>
        <w:ind w:left="851" w:hanging="567"/>
      </w:pPr>
      <w:r>
        <w:t xml:space="preserve">Předpokládá se, že </w:t>
      </w:r>
      <w:r w:rsidRPr="00246D92">
        <w:t>většina servisních zásahů bude řešena prostřednictvím vzdáleného přístupu, který zadavatel za tímto účel zřídí pro definované pracovníky poskytovatele</w:t>
      </w:r>
      <w:r>
        <w:t>.</w:t>
      </w:r>
    </w:p>
    <w:p w14:paraId="240916D5" w14:textId="2CADA951" w:rsidR="009C3D1C" w:rsidRDefault="00C70EB9" w:rsidP="009C3D1C">
      <w:pPr>
        <w:pStyle w:val="Odstavecseseznamem"/>
        <w:numPr>
          <w:ilvl w:val="0"/>
          <w:numId w:val="36"/>
        </w:numPr>
        <w:ind w:left="851" w:hanging="567"/>
      </w:pPr>
      <w:r>
        <w:t xml:space="preserve">V případě </w:t>
      </w:r>
      <w:proofErr w:type="spellStart"/>
      <w:r>
        <w:t>maintenance</w:t>
      </w:r>
      <w:proofErr w:type="spellEnd"/>
      <w:r>
        <w:t xml:space="preserve"> a podpory uživatelům </w:t>
      </w:r>
      <w:r w:rsidR="00503B26">
        <w:t>poskytovatel</w:t>
      </w:r>
      <w:r>
        <w:t xml:space="preserve"> uvede pod</w:t>
      </w:r>
      <w:r w:rsidR="00F424C9">
        <w:t>r</w:t>
      </w:r>
      <w:r>
        <w:t>obně koncipovaný balíček služeb.</w:t>
      </w:r>
    </w:p>
    <w:p w14:paraId="28FA1018" w14:textId="77777777" w:rsidR="00CD59FF" w:rsidRDefault="00CD59FF" w:rsidP="00CD59FF">
      <w:pPr>
        <w:pStyle w:val="Odstavecseseznamem"/>
        <w:ind w:left="851"/>
      </w:pPr>
    </w:p>
    <w:p w14:paraId="2C2A83C0" w14:textId="35C4FADF" w:rsidR="00612410" w:rsidRDefault="00612410" w:rsidP="00612410">
      <w:pPr>
        <w:pStyle w:val="Nadpis3"/>
        <w:numPr>
          <w:ilvl w:val="1"/>
          <w:numId w:val="15"/>
        </w:numPr>
      </w:pPr>
      <w:r>
        <w:t>Služby mimo paušální poplatek</w:t>
      </w:r>
    </w:p>
    <w:p w14:paraId="2D6EF1A3" w14:textId="77777777" w:rsidR="00612410" w:rsidRDefault="00612410" w:rsidP="00612410"/>
    <w:p w14:paraId="4E66D950" w14:textId="1A959C45" w:rsidR="0019255F" w:rsidRDefault="0019255F" w:rsidP="00CD59FF">
      <w:pPr>
        <w:pStyle w:val="Odstavecseseznamem"/>
        <w:numPr>
          <w:ilvl w:val="0"/>
          <w:numId w:val="43"/>
        </w:numPr>
        <w:jc w:val="both"/>
      </w:pPr>
      <w:r>
        <w:t xml:space="preserve">Další služby </w:t>
      </w:r>
      <w:r w:rsidR="009C3D1C">
        <w:t xml:space="preserve">dle požadavků objednatele hrazené </w:t>
      </w:r>
      <w:r w:rsidR="00503B26">
        <w:t xml:space="preserve">poskytovateli </w:t>
      </w:r>
      <w:r w:rsidR="009C3D1C">
        <w:t>hodinovou sazbou</w:t>
      </w:r>
      <w:r>
        <w:t>.</w:t>
      </w:r>
    </w:p>
    <w:p w14:paraId="68C3E6F4" w14:textId="21954E23" w:rsidR="00CD59FF" w:rsidRDefault="00CD59FF" w:rsidP="00CD59FF">
      <w:pPr>
        <w:pStyle w:val="Odstavecseseznamem"/>
        <w:numPr>
          <w:ilvl w:val="0"/>
          <w:numId w:val="43"/>
        </w:numPr>
        <w:jc w:val="both"/>
      </w:pPr>
      <w:r>
        <w:t xml:space="preserve">Služby nad rámec rozsahu služeb v paušálním poplatku požadované jednotlivými </w:t>
      </w:r>
      <w:r w:rsidR="00763DC0">
        <w:t xml:space="preserve">příspěvkovými </w:t>
      </w:r>
      <w:r>
        <w:t>organizacemi</w:t>
      </w:r>
      <w:r w:rsidR="006B64BC">
        <w:t>, které</w:t>
      </w:r>
      <w:r>
        <w:t xml:space="preserve"> </w:t>
      </w:r>
      <w:r w:rsidR="00C87898">
        <w:t xml:space="preserve">budou </w:t>
      </w:r>
      <w:r>
        <w:t xml:space="preserve">hrazené na základě samostatné smlouvy s jednotlivými </w:t>
      </w:r>
      <w:r w:rsidR="00763DC0">
        <w:t xml:space="preserve">příspěvkovými </w:t>
      </w:r>
      <w:r>
        <w:t>organizacemi</w:t>
      </w:r>
      <w:r w:rsidR="00906975">
        <w:t>.</w:t>
      </w:r>
    </w:p>
    <w:p w14:paraId="62CDE7C5" w14:textId="77777777" w:rsidR="00E0401A" w:rsidRDefault="00E0401A" w:rsidP="00E0401A"/>
    <w:p w14:paraId="1F73C10A" w14:textId="77777777" w:rsidR="0057395C" w:rsidRDefault="0057395C" w:rsidP="00E0401A"/>
    <w:p w14:paraId="317E7018" w14:textId="77777777" w:rsidR="0057395C" w:rsidRDefault="0057395C" w:rsidP="00E0401A"/>
    <w:p w14:paraId="2542C207" w14:textId="77777777" w:rsidR="0057395C" w:rsidRDefault="0057395C" w:rsidP="00E0401A"/>
    <w:sectPr w:rsidR="005739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E71DE" w14:textId="77777777" w:rsidR="00C718F7" w:rsidRDefault="00C718F7" w:rsidP="001F00F8">
      <w:pPr>
        <w:spacing w:after="0" w:line="240" w:lineRule="auto"/>
      </w:pPr>
      <w:r>
        <w:separator/>
      </w:r>
    </w:p>
  </w:endnote>
  <w:endnote w:type="continuationSeparator" w:id="0">
    <w:p w14:paraId="7435DF4B" w14:textId="77777777" w:rsidR="00C718F7" w:rsidRDefault="00C718F7" w:rsidP="001F0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517492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p w14:paraId="22A78656" w14:textId="3682DE7B" w:rsidR="00BF56E7" w:rsidRPr="002C0D5E" w:rsidRDefault="00BF56E7" w:rsidP="00BF56E7">
        <w:pPr>
          <w:pStyle w:val="Zpat"/>
          <w:ind w:left="720"/>
          <w:jc w:val="center"/>
          <w:rPr>
            <w:rFonts w:cstheme="minorHAnsi"/>
          </w:rPr>
        </w:pPr>
        <w:r w:rsidRPr="002C0D5E">
          <w:rPr>
            <w:rFonts w:cstheme="minorHAnsi"/>
          </w:rPr>
          <w:fldChar w:fldCharType="begin"/>
        </w:r>
        <w:r w:rsidRPr="002C0D5E">
          <w:rPr>
            <w:rFonts w:cstheme="minorHAnsi"/>
          </w:rPr>
          <w:instrText>PAGE   \* MERGEFORMAT</w:instrText>
        </w:r>
        <w:r w:rsidRPr="002C0D5E">
          <w:rPr>
            <w:rFonts w:cstheme="minorHAnsi"/>
          </w:rPr>
          <w:fldChar w:fldCharType="separate"/>
        </w:r>
        <w:r w:rsidR="00AD198E">
          <w:rPr>
            <w:rFonts w:cstheme="minorHAnsi"/>
            <w:noProof/>
          </w:rPr>
          <w:t>13</w:t>
        </w:r>
        <w:r w:rsidRPr="002C0D5E">
          <w:rPr>
            <w:rFonts w:cstheme="minorHAnsi"/>
          </w:rPr>
          <w:fldChar w:fldCharType="end"/>
        </w:r>
        <w:r w:rsidR="002C0D5E" w:rsidRPr="002C0D5E">
          <w:rPr>
            <w:rFonts w:cstheme="minorHAnsi"/>
            <w:sz w:val="16"/>
            <w:szCs w:val="16"/>
          </w:rPr>
          <w:t xml:space="preserve"> / </w:t>
        </w:r>
        <w:r w:rsidR="002C0D5E" w:rsidRPr="002C0D5E">
          <w:rPr>
            <w:rFonts w:cstheme="minorHAnsi"/>
            <w:sz w:val="20"/>
            <w:szCs w:val="20"/>
          </w:rPr>
          <w:fldChar w:fldCharType="begin"/>
        </w:r>
        <w:r w:rsidR="002C0D5E" w:rsidRPr="002C0D5E">
          <w:rPr>
            <w:rFonts w:cstheme="minorHAnsi"/>
          </w:rPr>
          <w:instrText xml:space="preserve"> NUMPAGES   \* MERGEFORMAT </w:instrText>
        </w:r>
        <w:r w:rsidR="002C0D5E" w:rsidRPr="002C0D5E">
          <w:rPr>
            <w:rFonts w:cstheme="minorHAnsi"/>
            <w:sz w:val="20"/>
            <w:szCs w:val="20"/>
          </w:rPr>
          <w:fldChar w:fldCharType="separate"/>
        </w:r>
        <w:r w:rsidR="00AD198E" w:rsidRPr="00AD198E">
          <w:rPr>
            <w:rFonts w:cstheme="minorHAnsi"/>
            <w:noProof/>
            <w:sz w:val="20"/>
          </w:rPr>
          <w:t>18</w:t>
        </w:r>
        <w:r w:rsidR="002C0D5E" w:rsidRPr="002C0D5E">
          <w:rPr>
            <w:rFonts w:cstheme="minorHAnsi"/>
            <w:noProof/>
            <w:sz w:val="16"/>
            <w:szCs w:val="16"/>
          </w:rPr>
          <w:fldChar w:fldCharType="end"/>
        </w:r>
      </w:p>
    </w:sdtContent>
  </w:sdt>
  <w:p w14:paraId="12585B76" w14:textId="77777777" w:rsidR="00BF56E7" w:rsidRDefault="00BF56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D05AD" w14:textId="77777777" w:rsidR="00C718F7" w:rsidRDefault="00C718F7" w:rsidP="001F00F8">
      <w:pPr>
        <w:spacing w:after="0" w:line="240" w:lineRule="auto"/>
      </w:pPr>
      <w:r>
        <w:separator/>
      </w:r>
    </w:p>
  </w:footnote>
  <w:footnote w:type="continuationSeparator" w:id="0">
    <w:p w14:paraId="76B7AA48" w14:textId="77777777" w:rsidR="00C718F7" w:rsidRDefault="00C718F7" w:rsidP="001F0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83B7F" w14:textId="10FB7C91" w:rsidR="008F7F24" w:rsidRDefault="00914CB2" w:rsidP="008F7F24">
    <w:pPr>
      <w:jc w:val="center"/>
    </w:pPr>
    <w:r>
      <w:t xml:space="preserve">Příloha č. </w:t>
    </w:r>
    <w:r w:rsidR="00BA5DB5">
      <w:t>1</w:t>
    </w:r>
    <w:r>
      <w:t xml:space="preserve"> – Technická specifikace</w:t>
    </w:r>
    <w:r w:rsidR="002C0D5E">
      <w:t xml:space="preserve"> </w:t>
    </w:r>
    <w:r w:rsidR="00DA4813">
      <w:t xml:space="preserve">veřejné zakázky </w:t>
    </w:r>
    <w:r w:rsidR="008F7F24">
      <w:t>„</w:t>
    </w:r>
    <w:r w:rsidR="008F7F24">
      <w:rPr>
        <w:b/>
        <w:bCs/>
      </w:rPr>
      <w:t>Poskytování servisních služeb pro ekonomický systém příspěvkových organizací GINIS SQL Expres</w:t>
    </w:r>
    <w:r w:rsidR="008F7F24">
      <w:t>“</w:t>
    </w:r>
  </w:p>
  <w:p w14:paraId="065F74A5" w14:textId="77777777" w:rsidR="008F7F24" w:rsidRPr="00830CEB" w:rsidRDefault="008F7F24" w:rsidP="008F7F24"/>
  <w:p w14:paraId="4373C1CD" w14:textId="170A9B03" w:rsidR="00914CB2" w:rsidRDefault="00914C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212"/>
    <w:multiLevelType w:val="hybridMultilevel"/>
    <w:tmpl w:val="B5C28838"/>
    <w:lvl w:ilvl="0" w:tplc="21F61DE4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6BF7E81"/>
    <w:multiLevelType w:val="hybridMultilevel"/>
    <w:tmpl w:val="6388F8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01D82"/>
    <w:multiLevelType w:val="hybridMultilevel"/>
    <w:tmpl w:val="73363F22"/>
    <w:lvl w:ilvl="0" w:tplc="AA0E65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D3E0D"/>
    <w:multiLevelType w:val="hybridMultilevel"/>
    <w:tmpl w:val="73363F2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7240D"/>
    <w:multiLevelType w:val="hybridMultilevel"/>
    <w:tmpl w:val="07DA9EEA"/>
    <w:lvl w:ilvl="0" w:tplc="C4FA530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2508" w:hanging="708"/>
      </w:pPr>
      <w:rPr>
        <w:rFonts w:hint="default"/>
      </w:rPr>
    </w:lvl>
    <w:lvl w:ilvl="2" w:tplc="8AC07DB8">
      <w:start w:val="1"/>
      <w:numFmt w:val="lowerLetter"/>
      <w:lvlText w:val="(%3)"/>
      <w:lvlJc w:val="left"/>
      <w:pPr>
        <w:ind w:left="3408" w:hanging="708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30513D"/>
    <w:multiLevelType w:val="hybridMultilevel"/>
    <w:tmpl w:val="73363F2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92F15"/>
    <w:multiLevelType w:val="hybridMultilevel"/>
    <w:tmpl w:val="AD8A0582"/>
    <w:lvl w:ilvl="0" w:tplc="2460DBF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0E4D2B"/>
    <w:multiLevelType w:val="hybridMultilevel"/>
    <w:tmpl w:val="2DF8EDA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A74A9"/>
    <w:multiLevelType w:val="multilevel"/>
    <w:tmpl w:val="D14AC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A4E4D66"/>
    <w:multiLevelType w:val="hybridMultilevel"/>
    <w:tmpl w:val="73363F2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32A"/>
    <w:multiLevelType w:val="hybridMultilevel"/>
    <w:tmpl w:val="BE3A6F7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C4F7A"/>
    <w:multiLevelType w:val="hybridMultilevel"/>
    <w:tmpl w:val="1046CFC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876663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A6A89"/>
    <w:multiLevelType w:val="hybridMultilevel"/>
    <w:tmpl w:val="C2469146"/>
    <w:lvl w:ilvl="0" w:tplc="21F61DE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28422C"/>
    <w:multiLevelType w:val="hybridMultilevel"/>
    <w:tmpl w:val="88280CFC"/>
    <w:lvl w:ilvl="0" w:tplc="21F61D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01079"/>
    <w:multiLevelType w:val="multilevel"/>
    <w:tmpl w:val="592C6B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2EA7871"/>
    <w:multiLevelType w:val="hybridMultilevel"/>
    <w:tmpl w:val="F34C342C"/>
    <w:lvl w:ilvl="0" w:tplc="040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34CB1B1D"/>
    <w:multiLevelType w:val="hybridMultilevel"/>
    <w:tmpl w:val="B6BA79A2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5CE61E6"/>
    <w:multiLevelType w:val="hybridMultilevel"/>
    <w:tmpl w:val="2DF8EDA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9119F"/>
    <w:multiLevelType w:val="hybridMultilevel"/>
    <w:tmpl w:val="7D3012A6"/>
    <w:lvl w:ilvl="0" w:tplc="21F61D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B5705"/>
    <w:multiLevelType w:val="hybridMultilevel"/>
    <w:tmpl w:val="2DF8EDA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76BEA"/>
    <w:multiLevelType w:val="hybridMultilevel"/>
    <w:tmpl w:val="5BBA4F2A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1C612E2"/>
    <w:multiLevelType w:val="hybridMultilevel"/>
    <w:tmpl w:val="2DF8EDA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E7A1B"/>
    <w:multiLevelType w:val="hybridMultilevel"/>
    <w:tmpl w:val="64962E88"/>
    <w:lvl w:ilvl="0" w:tplc="21F61DE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A6376B"/>
    <w:multiLevelType w:val="hybridMultilevel"/>
    <w:tmpl w:val="078495BE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69F7EAA"/>
    <w:multiLevelType w:val="hybridMultilevel"/>
    <w:tmpl w:val="2DF8EDA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44C2F"/>
    <w:multiLevelType w:val="hybridMultilevel"/>
    <w:tmpl w:val="716CD98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2508" w:hanging="708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A710897"/>
    <w:multiLevelType w:val="hybridMultilevel"/>
    <w:tmpl w:val="3F9461EA"/>
    <w:lvl w:ilvl="0" w:tplc="21F61D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110BD"/>
    <w:multiLevelType w:val="hybridMultilevel"/>
    <w:tmpl w:val="BE3A6F74"/>
    <w:lvl w:ilvl="0" w:tplc="21F61D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B0856"/>
    <w:multiLevelType w:val="hybridMultilevel"/>
    <w:tmpl w:val="A2528D66"/>
    <w:lvl w:ilvl="0" w:tplc="CDE69C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DD4454"/>
    <w:multiLevelType w:val="hybridMultilevel"/>
    <w:tmpl w:val="C2CE14A8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3992531"/>
    <w:multiLevelType w:val="hybridMultilevel"/>
    <w:tmpl w:val="F0207F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136E1"/>
    <w:multiLevelType w:val="hybridMultilevel"/>
    <w:tmpl w:val="2DF8EDA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54FE5"/>
    <w:multiLevelType w:val="hybridMultilevel"/>
    <w:tmpl w:val="2F2AE344"/>
    <w:lvl w:ilvl="0" w:tplc="21F61D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0901A3"/>
    <w:multiLevelType w:val="hybridMultilevel"/>
    <w:tmpl w:val="B6905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B51E1"/>
    <w:multiLevelType w:val="hybridMultilevel"/>
    <w:tmpl w:val="15E2C96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21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2104AC"/>
    <w:multiLevelType w:val="hybridMultilevel"/>
    <w:tmpl w:val="E3F0ED2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8B6B7C"/>
    <w:multiLevelType w:val="hybridMultilevel"/>
    <w:tmpl w:val="2DF8EDA0"/>
    <w:lvl w:ilvl="0" w:tplc="21F61D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BA76C7"/>
    <w:multiLevelType w:val="hybridMultilevel"/>
    <w:tmpl w:val="2DF8EDA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1D2565"/>
    <w:multiLevelType w:val="hybridMultilevel"/>
    <w:tmpl w:val="2DF8EDA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1E66F2"/>
    <w:multiLevelType w:val="hybridMultilevel"/>
    <w:tmpl w:val="7D3012A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AF7EAB"/>
    <w:multiLevelType w:val="hybridMultilevel"/>
    <w:tmpl w:val="73363F2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DA219A"/>
    <w:multiLevelType w:val="hybridMultilevel"/>
    <w:tmpl w:val="9A72B69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93342"/>
    <w:multiLevelType w:val="hybridMultilevel"/>
    <w:tmpl w:val="A4469746"/>
    <w:lvl w:ilvl="0" w:tplc="2460DBF4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119833651">
    <w:abstractNumId w:val="1"/>
  </w:num>
  <w:num w:numId="2" w16cid:durableId="704722199">
    <w:abstractNumId w:val="26"/>
  </w:num>
  <w:num w:numId="3" w16cid:durableId="963734305">
    <w:abstractNumId w:val="27"/>
  </w:num>
  <w:num w:numId="4" w16cid:durableId="201328712">
    <w:abstractNumId w:val="6"/>
  </w:num>
  <w:num w:numId="5" w16cid:durableId="2072267906">
    <w:abstractNumId w:val="12"/>
  </w:num>
  <w:num w:numId="6" w16cid:durableId="783228218">
    <w:abstractNumId w:val="22"/>
  </w:num>
  <w:num w:numId="7" w16cid:durableId="1293749247">
    <w:abstractNumId w:val="36"/>
  </w:num>
  <w:num w:numId="8" w16cid:durableId="140971353">
    <w:abstractNumId w:val="4"/>
  </w:num>
  <w:num w:numId="9" w16cid:durableId="1257591002">
    <w:abstractNumId w:val="33"/>
  </w:num>
  <w:num w:numId="10" w16cid:durableId="810437214">
    <w:abstractNumId w:val="8"/>
  </w:num>
  <w:num w:numId="11" w16cid:durableId="739599732">
    <w:abstractNumId w:val="2"/>
  </w:num>
  <w:num w:numId="12" w16cid:durableId="1720977417">
    <w:abstractNumId w:val="25"/>
  </w:num>
  <w:num w:numId="13" w16cid:durableId="2097902967">
    <w:abstractNumId w:val="10"/>
  </w:num>
  <w:num w:numId="14" w16cid:durableId="714042386">
    <w:abstractNumId w:val="15"/>
  </w:num>
  <w:num w:numId="15" w16cid:durableId="758789358">
    <w:abstractNumId w:val="14"/>
  </w:num>
  <w:num w:numId="16" w16cid:durableId="2064401251">
    <w:abstractNumId w:val="3"/>
  </w:num>
  <w:num w:numId="17" w16cid:durableId="365373289">
    <w:abstractNumId w:val="40"/>
  </w:num>
  <w:num w:numId="18" w16cid:durableId="2030646257">
    <w:abstractNumId w:val="23"/>
  </w:num>
  <w:num w:numId="19" w16cid:durableId="1519268608">
    <w:abstractNumId w:val="20"/>
  </w:num>
  <w:num w:numId="20" w16cid:durableId="1612323658">
    <w:abstractNumId w:val="9"/>
  </w:num>
  <w:num w:numId="21" w16cid:durableId="1213419915">
    <w:abstractNumId w:val="5"/>
  </w:num>
  <w:num w:numId="22" w16cid:durableId="187790737">
    <w:abstractNumId w:val="29"/>
  </w:num>
  <w:num w:numId="23" w16cid:durableId="1048452258">
    <w:abstractNumId w:val="21"/>
  </w:num>
  <w:num w:numId="24" w16cid:durableId="2087721691">
    <w:abstractNumId w:val="19"/>
  </w:num>
  <w:num w:numId="25" w16cid:durableId="824130067">
    <w:abstractNumId w:val="38"/>
  </w:num>
  <w:num w:numId="26" w16cid:durableId="941765695">
    <w:abstractNumId w:val="31"/>
  </w:num>
  <w:num w:numId="27" w16cid:durableId="139619272">
    <w:abstractNumId w:val="30"/>
  </w:num>
  <w:num w:numId="28" w16cid:durableId="713432485">
    <w:abstractNumId w:val="24"/>
  </w:num>
  <w:num w:numId="29" w16cid:durableId="495802803">
    <w:abstractNumId w:val="17"/>
  </w:num>
  <w:num w:numId="30" w16cid:durableId="1192381284">
    <w:abstractNumId w:val="7"/>
  </w:num>
  <w:num w:numId="31" w16cid:durableId="334385607">
    <w:abstractNumId w:val="41"/>
  </w:num>
  <w:num w:numId="32" w16cid:durableId="913466363">
    <w:abstractNumId w:val="0"/>
  </w:num>
  <w:num w:numId="33" w16cid:durableId="244606543">
    <w:abstractNumId w:val="42"/>
  </w:num>
  <w:num w:numId="34" w16cid:durableId="752508205">
    <w:abstractNumId w:val="32"/>
  </w:num>
  <w:num w:numId="35" w16cid:durableId="1270088053">
    <w:abstractNumId w:val="13"/>
  </w:num>
  <w:num w:numId="36" w16cid:durableId="1346900140">
    <w:abstractNumId w:val="18"/>
  </w:num>
  <w:num w:numId="37" w16cid:durableId="860360875">
    <w:abstractNumId w:val="34"/>
  </w:num>
  <w:num w:numId="38" w16cid:durableId="1021128386">
    <w:abstractNumId w:val="16"/>
  </w:num>
  <w:num w:numId="39" w16cid:durableId="353263642">
    <w:abstractNumId w:val="37"/>
  </w:num>
  <w:num w:numId="40" w16cid:durableId="795607980">
    <w:abstractNumId w:val="28"/>
  </w:num>
  <w:num w:numId="41" w16cid:durableId="1774664545">
    <w:abstractNumId w:val="35"/>
  </w:num>
  <w:num w:numId="42" w16cid:durableId="264072091">
    <w:abstractNumId w:val="11"/>
  </w:num>
  <w:num w:numId="43" w16cid:durableId="681321291">
    <w:abstractNumId w:val="3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A3A"/>
    <w:rsid w:val="00003A2C"/>
    <w:rsid w:val="000068A1"/>
    <w:rsid w:val="000148E1"/>
    <w:rsid w:val="00017E10"/>
    <w:rsid w:val="000207EC"/>
    <w:rsid w:val="00024D47"/>
    <w:rsid w:val="00061C17"/>
    <w:rsid w:val="00071F26"/>
    <w:rsid w:val="000778B7"/>
    <w:rsid w:val="000922D7"/>
    <w:rsid w:val="000A27E5"/>
    <w:rsid w:val="000A4531"/>
    <w:rsid w:val="000B6F8E"/>
    <w:rsid w:val="000C1295"/>
    <w:rsid w:val="000C2EFF"/>
    <w:rsid w:val="000C3CA9"/>
    <w:rsid w:val="000D3ADF"/>
    <w:rsid w:val="000E2BE5"/>
    <w:rsid w:val="000E32BF"/>
    <w:rsid w:val="000E59E3"/>
    <w:rsid w:val="000F63F1"/>
    <w:rsid w:val="0010569A"/>
    <w:rsid w:val="00106340"/>
    <w:rsid w:val="00110536"/>
    <w:rsid w:val="001127D8"/>
    <w:rsid w:val="00120156"/>
    <w:rsid w:val="00123B73"/>
    <w:rsid w:val="00133107"/>
    <w:rsid w:val="00133EB9"/>
    <w:rsid w:val="00136735"/>
    <w:rsid w:val="001375F1"/>
    <w:rsid w:val="00142F86"/>
    <w:rsid w:val="00166CA8"/>
    <w:rsid w:val="00185074"/>
    <w:rsid w:val="00186293"/>
    <w:rsid w:val="0019255F"/>
    <w:rsid w:val="00196D8D"/>
    <w:rsid w:val="001A358B"/>
    <w:rsid w:val="001D312B"/>
    <w:rsid w:val="001F00F8"/>
    <w:rsid w:val="00207426"/>
    <w:rsid w:val="002122DE"/>
    <w:rsid w:val="0021601A"/>
    <w:rsid w:val="00240075"/>
    <w:rsid w:val="00241E43"/>
    <w:rsid w:val="00263008"/>
    <w:rsid w:val="002A2AAD"/>
    <w:rsid w:val="002A7AEB"/>
    <w:rsid w:val="002B1792"/>
    <w:rsid w:val="002C0D5E"/>
    <w:rsid w:val="002C164B"/>
    <w:rsid w:val="002D1CDD"/>
    <w:rsid w:val="002D2306"/>
    <w:rsid w:val="002D32E3"/>
    <w:rsid w:val="002D4362"/>
    <w:rsid w:val="002E23E5"/>
    <w:rsid w:val="002F2F63"/>
    <w:rsid w:val="002F31AB"/>
    <w:rsid w:val="002F6881"/>
    <w:rsid w:val="00301D17"/>
    <w:rsid w:val="0030540F"/>
    <w:rsid w:val="00306B5D"/>
    <w:rsid w:val="00310697"/>
    <w:rsid w:val="00316146"/>
    <w:rsid w:val="0032375F"/>
    <w:rsid w:val="0034121C"/>
    <w:rsid w:val="00342519"/>
    <w:rsid w:val="00346407"/>
    <w:rsid w:val="0035185E"/>
    <w:rsid w:val="00360EEE"/>
    <w:rsid w:val="003647C6"/>
    <w:rsid w:val="003701EF"/>
    <w:rsid w:val="00371003"/>
    <w:rsid w:val="00380495"/>
    <w:rsid w:val="003811D0"/>
    <w:rsid w:val="00382076"/>
    <w:rsid w:val="003920CD"/>
    <w:rsid w:val="003A6828"/>
    <w:rsid w:val="003C0444"/>
    <w:rsid w:val="003C0C39"/>
    <w:rsid w:val="003C1BF5"/>
    <w:rsid w:val="003C71F9"/>
    <w:rsid w:val="003D3F96"/>
    <w:rsid w:val="003E24BA"/>
    <w:rsid w:val="003E54CE"/>
    <w:rsid w:val="003F1C48"/>
    <w:rsid w:val="00405041"/>
    <w:rsid w:val="0041042A"/>
    <w:rsid w:val="00416904"/>
    <w:rsid w:val="004307FB"/>
    <w:rsid w:val="0044429E"/>
    <w:rsid w:val="00452F57"/>
    <w:rsid w:val="00462ED7"/>
    <w:rsid w:val="004630AA"/>
    <w:rsid w:val="004756DF"/>
    <w:rsid w:val="0049091F"/>
    <w:rsid w:val="00497973"/>
    <w:rsid w:val="004A5E99"/>
    <w:rsid w:val="004B0CCB"/>
    <w:rsid w:val="004B24AF"/>
    <w:rsid w:val="004C01C7"/>
    <w:rsid w:val="004C40E4"/>
    <w:rsid w:val="004C6385"/>
    <w:rsid w:val="00503B26"/>
    <w:rsid w:val="00507936"/>
    <w:rsid w:val="00511B1F"/>
    <w:rsid w:val="005359DB"/>
    <w:rsid w:val="00541F36"/>
    <w:rsid w:val="00543813"/>
    <w:rsid w:val="005554CD"/>
    <w:rsid w:val="005556B7"/>
    <w:rsid w:val="00556BCC"/>
    <w:rsid w:val="0056188F"/>
    <w:rsid w:val="00562F09"/>
    <w:rsid w:val="0057395C"/>
    <w:rsid w:val="00574BC9"/>
    <w:rsid w:val="00587A04"/>
    <w:rsid w:val="005974AA"/>
    <w:rsid w:val="005B5952"/>
    <w:rsid w:val="005B6091"/>
    <w:rsid w:val="005D32C0"/>
    <w:rsid w:val="005E084C"/>
    <w:rsid w:val="005F3B8E"/>
    <w:rsid w:val="00600686"/>
    <w:rsid w:val="00602E5A"/>
    <w:rsid w:val="00612410"/>
    <w:rsid w:val="00620780"/>
    <w:rsid w:val="0062266B"/>
    <w:rsid w:val="00636551"/>
    <w:rsid w:val="006445AF"/>
    <w:rsid w:val="00663199"/>
    <w:rsid w:val="00693747"/>
    <w:rsid w:val="006948F4"/>
    <w:rsid w:val="006A18D7"/>
    <w:rsid w:val="006A1A3A"/>
    <w:rsid w:val="006A5877"/>
    <w:rsid w:val="006B3539"/>
    <w:rsid w:val="006B471B"/>
    <w:rsid w:val="006B558A"/>
    <w:rsid w:val="006B64BC"/>
    <w:rsid w:val="006C40A5"/>
    <w:rsid w:val="006C6954"/>
    <w:rsid w:val="006D3710"/>
    <w:rsid w:val="006E497B"/>
    <w:rsid w:val="006E5750"/>
    <w:rsid w:val="006F5C29"/>
    <w:rsid w:val="006F673B"/>
    <w:rsid w:val="00705F5E"/>
    <w:rsid w:val="007208BF"/>
    <w:rsid w:val="00720D00"/>
    <w:rsid w:val="007243C4"/>
    <w:rsid w:val="007316BF"/>
    <w:rsid w:val="0073733A"/>
    <w:rsid w:val="00737B69"/>
    <w:rsid w:val="00744728"/>
    <w:rsid w:val="00753E5B"/>
    <w:rsid w:val="00763DC0"/>
    <w:rsid w:val="007668DF"/>
    <w:rsid w:val="00771DB0"/>
    <w:rsid w:val="00771E7B"/>
    <w:rsid w:val="007A4C29"/>
    <w:rsid w:val="007B306C"/>
    <w:rsid w:val="007C0CB0"/>
    <w:rsid w:val="007C546D"/>
    <w:rsid w:val="007D2365"/>
    <w:rsid w:val="007D6E25"/>
    <w:rsid w:val="007F24BA"/>
    <w:rsid w:val="00805403"/>
    <w:rsid w:val="008077E5"/>
    <w:rsid w:val="00812577"/>
    <w:rsid w:val="00812ABB"/>
    <w:rsid w:val="00825B11"/>
    <w:rsid w:val="008300D2"/>
    <w:rsid w:val="008301C3"/>
    <w:rsid w:val="0083096F"/>
    <w:rsid w:val="00830AC7"/>
    <w:rsid w:val="0083231E"/>
    <w:rsid w:val="00836791"/>
    <w:rsid w:val="00843A8D"/>
    <w:rsid w:val="00846424"/>
    <w:rsid w:val="00857FC4"/>
    <w:rsid w:val="00862A3E"/>
    <w:rsid w:val="00862BA0"/>
    <w:rsid w:val="00882A29"/>
    <w:rsid w:val="00884B48"/>
    <w:rsid w:val="008A4C42"/>
    <w:rsid w:val="008B1A19"/>
    <w:rsid w:val="008B223D"/>
    <w:rsid w:val="008D1D5B"/>
    <w:rsid w:val="008D31BB"/>
    <w:rsid w:val="008E1658"/>
    <w:rsid w:val="008E5C97"/>
    <w:rsid w:val="008F2372"/>
    <w:rsid w:val="008F7F24"/>
    <w:rsid w:val="009007A1"/>
    <w:rsid w:val="009022DB"/>
    <w:rsid w:val="00904768"/>
    <w:rsid w:val="00905C20"/>
    <w:rsid w:val="00906975"/>
    <w:rsid w:val="00914CB2"/>
    <w:rsid w:val="00920B1C"/>
    <w:rsid w:val="00922659"/>
    <w:rsid w:val="009234C0"/>
    <w:rsid w:val="00923EC9"/>
    <w:rsid w:val="0094648B"/>
    <w:rsid w:val="0095000C"/>
    <w:rsid w:val="00951459"/>
    <w:rsid w:val="009557CC"/>
    <w:rsid w:val="00955EDD"/>
    <w:rsid w:val="009600D1"/>
    <w:rsid w:val="00963EA5"/>
    <w:rsid w:val="0097421E"/>
    <w:rsid w:val="00980834"/>
    <w:rsid w:val="0098672A"/>
    <w:rsid w:val="0099187A"/>
    <w:rsid w:val="0099612E"/>
    <w:rsid w:val="009966DC"/>
    <w:rsid w:val="00996FA7"/>
    <w:rsid w:val="009A3663"/>
    <w:rsid w:val="009A456B"/>
    <w:rsid w:val="009C18FF"/>
    <w:rsid w:val="009C3D1C"/>
    <w:rsid w:val="009E544C"/>
    <w:rsid w:val="009E67EA"/>
    <w:rsid w:val="009F45D1"/>
    <w:rsid w:val="009F48D7"/>
    <w:rsid w:val="009F5839"/>
    <w:rsid w:val="009F686A"/>
    <w:rsid w:val="00A0032B"/>
    <w:rsid w:val="00A04D2E"/>
    <w:rsid w:val="00A30FD9"/>
    <w:rsid w:val="00A33CFA"/>
    <w:rsid w:val="00A372B9"/>
    <w:rsid w:val="00A37C97"/>
    <w:rsid w:val="00A43AC6"/>
    <w:rsid w:val="00A44585"/>
    <w:rsid w:val="00A5708A"/>
    <w:rsid w:val="00A576E5"/>
    <w:rsid w:val="00A57BA3"/>
    <w:rsid w:val="00A61BAF"/>
    <w:rsid w:val="00A664B8"/>
    <w:rsid w:val="00A674BA"/>
    <w:rsid w:val="00A723A2"/>
    <w:rsid w:val="00A75157"/>
    <w:rsid w:val="00A9154A"/>
    <w:rsid w:val="00A944D4"/>
    <w:rsid w:val="00AA3D65"/>
    <w:rsid w:val="00AB769D"/>
    <w:rsid w:val="00AD198E"/>
    <w:rsid w:val="00AD1CD7"/>
    <w:rsid w:val="00AE0088"/>
    <w:rsid w:val="00AE1F13"/>
    <w:rsid w:val="00AE25A6"/>
    <w:rsid w:val="00AF0395"/>
    <w:rsid w:val="00B03299"/>
    <w:rsid w:val="00B045B0"/>
    <w:rsid w:val="00B148D5"/>
    <w:rsid w:val="00B15878"/>
    <w:rsid w:val="00B15BB7"/>
    <w:rsid w:val="00B17720"/>
    <w:rsid w:val="00B17F43"/>
    <w:rsid w:val="00B249FD"/>
    <w:rsid w:val="00B25245"/>
    <w:rsid w:val="00B334DE"/>
    <w:rsid w:val="00B35189"/>
    <w:rsid w:val="00B421F5"/>
    <w:rsid w:val="00B52865"/>
    <w:rsid w:val="00B55BD6"/>
    <w:rsid w:val="00B67193"/>
    <w:rsid w:val="00B81A04"/>
    <w:rsid w:val="00B8501D"/>
    <w:rsid w:val="00B85DA9"/>
    <w:rsid w:val="00BA3BF6"/>
    <w:rsid w:val="00BA5DB5"/>
    <w:rsid w:val="00BB502A"/>
    <w:rsid w:val="00BB7FC5"/>
    <w:rsid w:val="00BC25CE"/>
    <w:rsid w:val="00BC4910"/>
    <w:rsid w:val="00BE0B39"/>
    <w:rsid w:val="00BE3736"/>
    <w:rsid w:val="00BF3260"/>
    <w:rsid w:val="00BF494B"/>
    <w:rsid w:val="00BF56E7"/>
    <w:rsid w:val="00BF790E"/>
    <w:rsid w:val="00C04CB0"/>
    <w:rsid w:val="00C103CA"/>
    <w:rsid w:val="00C13CA9"/>
    <w:rsid w:val="00C206DA"/>
    <w:rsid w:val="00C231EB"/>
    <w:rsid w:val="00C26235"/>
    <w:rsid w:val="00C3231E"/>
    <w:rsid w:val="00C37B58"/>
    <w:rsid w:val="00C41EF8"/>
    <w:rsid w:val="00C449CE"/>
    <w:rsid w:val="00C5465D"/>
    <w:rsid w:val="00C56126"/>
    <w:rsid w:val="00C651E0"/>
    <w:rsid w:val="00C70EB9"/>
    <w:rsid w:val="00C718F7"/>
    <w:rsid w:val="00C71D81"/>
    <w:rsid w:val="00C74694"/>
    <w:rsid w:val="00C773A6"/>
    <w:rsid w:val="00C84967"/>
    <w:rsid w:val="00C864CF"/>
    <w:rsid w:val="00C8778D"/>
    <w:rsid w:val="00C87898"/>
    <w:rsid w:val="00C94504"/>
    <w:rsid w:val="00CA14C1"/>
    <w:rsid w:val="00CB2C55"/>
    <w:rsid w:val="00CB3682"/>
    <w:rsid w:val="00CC4F99"/>
    <w:rsid w:val="00CD19E6"/>
    <w:rsid w:val="00CD59FF"/>
    <w:rsid w:val="00CE536A"/>
    <w:rsid w:val="00CF57A8"/>
    <w:rsid w:val="00D24BB8"/>
    <w:rsid w:val="00D44C59"/>
    <w:rsid w:val="00D50269"/>
    <w:rsid w:val="00D52B81"/>
    <w:rsid w:val="00D563A0"/>
    <w:rsid w:val="00D60C13"/>
    <w:rsid w:val="00D61CA9"/>
    <w:rsid w:val="00D679E4"/>
    <w:rsid w:val="00D7028B"/>
    <w:rsid w:val="00D70DBB"/>
    <w:rsid w:val="00D72252"/>
    <w:rsid w:val="00D73E6A"/>
    <w:rsid w:val="00D8462E"/>
    <w:rsid w:val="00D9098D"/>
    <w:rsid w:val="00DA0F23"/>
    <w:rsid w:val="00DA4813"/>
    <w:rsid w:val="00DB4073"/>
    <w:rsid w:val="00DB6E6B"/>
    <w:rsid w:val="00DB7C61"/>
    <w:rsid w:val="00DC0794"/>
    <w:rsid w:val="00DE2674"/>
    <w:rsid w:val="00DF226A"/>
    <w:rsid w:val="00DF3170"/>
    <w:rsid w:val="00DF5B8C"/>
    <w:rsid w:val="00E0104C"/>
    <w:rsid w:val="00E012C6"/>
    <w:rsid w:val="00E0264B"/>
    <w:rsid w:val="00E03F3B"/>
    <w:rsid w:val="00E0401A"/>
    <w:rsid w:val="00E10BD5"/>
    <w:rsid w:val="00E17613"/>
    <w:rsid w:val="00E179F5"/>
    <w:rsid w:val="00E21EE1"/>
    <w:rsid w:val="00E24E19"/>
    <w:rsid w:val="00E30422"/>
    <w:rsid w:val="00E3104A"/>
    <w:rsid w:val="00E330FC"/>
    <w:rsid w:val="00E3390A"/>
    <w:rsid w:val="00E3547F"/>
    <w:rsid w:val="00E35C84"/>
    <w:rsid w:val="00E41568"/>
    <w:rsid w:val="00E563A5"/>
    <w:rsid w:val="00E71A45"/>
    <w:rsid w:val="00E76800"/>
    <w:rsid w:val="00E852E8"/>
    <w:rsid w:val="00EA2066"/>
    <w:rsid w:val="00EB3C74"/>
    <w:rsid w:val="00EB7095"/>
    <w:rsid w:val="00EC1A5E"/>
    <w:rsid w:val="00EC34C8"/>
    <w:rsid w:val="00ED19FD"/>
    <w:rsid w:val="00ED3619"/>
    <w:rsid w:val="00ED5B02"/>
    <w:rsid w:val="00F02AF5"/>
    <w:rsid w:val="00F11EA6"/>
    <w:rsid w:val="00F13672"/>
    <w:rsid w:val="00F35074"/>
    <w:rsid w:val="00F4198D"/>
    <w:rsid w:val="00F424C9"/>
    <w:rsid w:val="00F43A63"/>
    <w:rsid w:val="00F50A0A"/>
    <w:rsid w:val="00F528D7"/>
    <w:rsid w:val="00F574C6"/>
    <w:rsid w:val="00F608AE"/>
    <w:rsid w:val="00F70BEE"/>
    <w:rsid w:val="00F777F9"/>
    <w:rsid w:val="00F84119"/>
    <w:rsid w:val="00F85954"/>
    <w:rsid w:val="00F93E73"/>
    <w:rsid w:val="00FA1453"/>
    <w:rsid w:val="00FA7F0E"/>
    <w:rsid w:val="00FB007C"/>
    <w:rsid w:val="00FC1FA1"/>
    <w:rsid w:val="00FC61F0"/>
    <w:rsid w:val="00FD0376"/>
    <w:rsid w:val="00FE1511"/>
    <w:rsid w:val="00FE6E11"/>
    <w:rsid w:val="00FF301F"/>
    <w:rsid w:val="00FF4251"/>
    <w:rsid w:val="00FF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A5D17"/>
  <w15:chartTrackingRefBased/>
  <w15:docId w15:val="{B9636A88-9B63-465A-9520-E291930B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301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aliases w:val="(1.1,1.2,1.3 etc),2,21,211,22,23,24,25,ASAPHeading 2,F2,F21,H2,Heaidng 2,Level 2,Nadpis 2T,PA Major Section,Reshdr2,Subsect heading,h2,hlavicka,l2,no section,section header,sub-sect,sub-sect1,sub-sect11,sub-sect2,sub-sect3,sub-sect4,sub-sect5"/>
    <w:basedOn w:val="Normln"/>
    <w:next w:val="Normln"/>
    <w:link w:val="Nadpis2Char"/>
    <w:unhideWhenUsed/>
    <w:qFormat/>
    <w:rsid w:val="00C71D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3,ASAPHeading 3,Bold Head,H3,H3-Heading 3,H31,Nadpis 3T,PA Minor Section,Podkapitola2,Sub Paragraph,Titolo3,Titre 3,V_Head3,V_Head31,V_Head32,Záhlaví 3,bh,h3,hoofdstuk 1.1.1,l3,l3.3,list 3,list3,título 3,título 31,título 32,título 33,título 34"/>
    <w:basedOn w:val="Normln"/>
    <w:next w:val="Normln"/>
    <w:link w:val="Nadpis3Char"/>
    <w:unhideWhenUsed/>
    <w:qFormat/>
    <w:rsid w:val="00C71D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rsid w:val="00C3231E"/>
    <w:pPr>
      <w:spacing w:after="120" w:line="240" w:lineRule="auto"/>
      <w:jc w:val="both"/>
    </w:pPr>
    <w:rPr>
      <w:rFonts w:ascii="Cambria" w:eastAsia="MS ??" w:hAnsi="Cambria" w:cs="Times New Roman"/>
      <w:kern w:val="0"/>
      <w:sz w:val="20"/>
      <w:szCs w:val="20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231E"/>
    <w:rPr>
      <w:rFonts w:ascii="Cambria" w:eastAsia="MS ??" w:hAnsi="Cambria" w:cs="Times New Roman"/>
      <w:kern w:val="0"/>
      <w:sz w:val="20"/>
      <w:szCs w:val="20"/>
      <w14:ligatures w14:val="none"/>
    </w:rPr>
  </w:style>
  <w:style w:type="character" w:styleId="Odkaznakoment">
    <w:name w:val="annotation reference"/>
    <w:uiPriority w:val="99"/>
    <w:rsid w:val="00C3231E"/>
    <w:rPr>
      <w:rFonts w:cs="Times New Roman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E0088"/>
    <w:pPr>
      <w:ind w:left="720"/>
      <w:contextualSpacing/>
    </w:pPr>
  </w:style>
  <w:style w:type="table" w:styleId="Mkatabulky">
    <w:name w:val="Table Grid"/>
    <w:basedOn w:val="Normlntabulka"/>
    <w:uiPriority w:val="39"/>
    <w:rsid w:val="0099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aliases w:val="(1.1 Char,1.2 Char,1.3 etc) Char,2 Char,21 Char,211 Char,22 Char,23 Char,24 Char,25 Char,ASAPHeading 2 Char,F2 Char,F21 Char,H2 Char,Heaidng 2 Char,Level 2 Char,Nadpis 2T Char,PA Major Section Char,Reshdr2 Char,Subsect heading Char,h2 Char"/>
    <w:basedOn w:val="Standardnpsmoodstavce"/>
    <w:link w:val="Nadpis2"/>
    <w:uiPriority w:val="9"/>
    <w:rsid w:val="00C71D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aliases w:val="3 Char,ASAPHeading 3 Char,Bold Head Char,H3 Char,H3-Heading 3 Char,H31 Char,Nadpis 3T Char,PA Minor Section Char,Podkapitola2 Char,Sub Paragraph Char,Titolo3 Char,Titre 3 Char,V_Head3 Char,V_Head31 Char,V_Head32 Char,Záhlaví 3 Char,bh Char"/>
    <w:basedOn w:val="Standardnpsmoodstavce"/>
    <w:link w:val="Nadpis3"/>
    <w:uiPriority w:val="9"/>
    <w:rsid w:val="00C71D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f01">
    <w:name w:val="cf01"/>
    <w:basedOn w:val="Standardnpsmoodstavce"/>
    <w:rsid w:val="00A5708A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n"/>
    <w:rsid w:val="00A57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customStyle="1" w:styleId="Mkatabulky1">
    <w:name w:val="Mřížka tabulky1"/>
    <w:basedOn w:val="Normlntabulka"/>
    <w:next w:val="Mkatabulky"/>
    <w:uiPriority w:val="59"/>
    <w:rsid w:val="00AD1CD7"/>
    <w:pPr>
      <w:spacing w:after="0" w:line="240" w:lineRule="auto"/>
    </w:pPr>
    <w:rPr>
      <w:rFonts w:ascii="Times New Roman" w:eastAsia="MS ??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0C3CA9"/>
    <w:pPr>
      <w:widowControl w:val="0"/>
      <w:suppressLineNumbers/>
      <w:suppressAutoHyphens/>
      <w:spacing w:after="0" w:line="240" w:lineRule="auto"/>
    </w:pPr>
    <w:rPr>
      <w:rFonts w:ascii="Calibri" w:eastAsia="DejaVu Sans" w:hAnsi="Calibri" w:cs="Calibri"/>
      <w:kern w:val="1"/>
      <w:sz w:val="20"/>
      <w:szCs w:val="20"/>
      <w:lang w:eastAsia="cs-CZ"/>
      <w14:ligatures w14:val="none"/>
    </w:rPr>
  </w:style>
  <w:style w:type="paragraph" w:customStyle="1" w:styleId="Nadpistabulky">
    <w:name w:val="Nadpis tabulky"/>
    <w:basedOn w:val="Obsahtabulky"/>
    <w:rsid w:val="000C3CA9"/>
    <w:pPr>
      <w:jc w:val="center"/>
    </w:pPr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3539"/>
    <w:pPr>
      <w:spacing w:after="160"/>
      <w:jc w:val="left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3539"/>
    <w:rPr>
      <w:rFonts w:ascii="Cambria" w:eastAsia="MS ??" w:hAnsi="Cambria" w:cs="Times New Roman"/>
      <w:b/>
      <w:bCs/>
      <w:kern w:val="0"/>
      <w:sz w:val="20"/>
      <w:szCs w:val="20"/>
      <w14:ligatures w14:val="none"/>
    </w:rPr>
  </w:style>
  <w:style w:type="paragraph" w:customStyle="1" w:styleId="Normln-Odstavec">
    <w:name w:val="Normální - Odstavec"/>
    <w:basedOn w:val="Normln"/>
    <w:link w:val="Normln-OdstavecCharChar"/>
    <w:rsid w:val="00A30FD9"/>
    <w:pPr>
      <w:tabs>
        <w:tab w:val="num" w:pos="567"/>
      </w:tabs>
      <w:spacing w:after="120" w:line="240" w:lineRule="auto"/>
      <w:jc w:val="both"/>
    </w:pPr>
    <w:rPr>
      <w:rFonts w:ascii="Times New Roman" w:eastAsia="MS ??" w:hAnsi="Times New Roman" w:cs="Times New Roman"/>
      <w:kern w:val="0"/>
      <w:szCs w:val="24"/>
      <w:lang w:eastAsia="cs-CZ"/>
      <w14:ligatures w14:val="none"/>
    </w:rPr>
  </w:style>
  <w:style w:type="paragraph" w:customStyle="1" w:styleId="Normln-Psmeno">
    <w:name w:val="Normální - Písmeno"/>
    <w:basedOn w:val="Normln"/>
    <w:rsid w:val="00A30FD9"/>
    <w:pPr>
      <w:spacing w:after="120" w:line="240" w:lineRule="auto"/>
      <w:ind w:left="1134" w:hanging="850"/>
      <w:jc w:val="both"/>
    </w:pPr>
    <w:rPr>
      <w:rFonts w:ascii="Times New Roman" w:eastAsia="MS ??" w:hAnsi="Times New Roman" w:cs="Times New Roman"/>
      <w:kern w:val="0"/>
      <w:szCs w:val="24"/>
      <w:lang w:eastAsia="cs-CZ"/>
      <w14:ligatures w14:val="none"/>
    </w:rPr>
  </w:style>
  <w:style w:type="paragraph" w:customStyle="1" w:styleId="Normln-msk">
    <w:name w:val="Normální - Římská"/>
    <w:basedOn w:val="Normln"/>
    <w:rsid w:val="00A30FD9"/>
    <w:pPr>
      <w:tabs>
        <w:tab w:val="num" w:pos="1701"/>
        <w:tab w:val="left" w:pos="1985"/>
      </w:tabs>
      <w:spacing w:after="120" w:line="240" w:lineRule="auto"/>
      <w:ind w:left="1134"/>
      <w:jc w:val="both"/>
    </w:pPr>
    <w:rPr>
      <w:rFonts w:ascii="Times New Roman" w:eastAsia="MS ??" w:hAnsi="Times New Roman" w:cs="Times New Roman"/>
      <w:kern w:val="0"/>
      <w:szCs w:val="24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830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ln-OdstavecCharChar">
    <w:name w:val="Normální - Odstavec Char Char"/>
    <w:link w:val="Normln-Odstavec"/>
    <w:locked/>
    <w:rsid w:val="00FC61F0"/>
    <w:rPr>
      <w:rFonts w:ascii="Times New Roman" w:eastAsia="MS ??" w:hAnsi="Times New Roman" w:cs="Times New Roman"/>
      <w:kern w:val="0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1F0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00F8"/>
  </w:style>
  <w:style w:type="paragraph" w:styleId="Zpat">
    <w:name w:val="footer"/>
    <w:basedOn w:val="Normln"/>
    <w:link w:val="ZpatChar"/>
    <w:uiPriority w:val="99"/>
    <w:unhideWhenUsed/>
    <w:qFormat/>
    <w:rsid w:val="001F0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00F8"/>
  </w:style>
  <w:style w:type="character" w:styleId="Hypertextovodkaz">
    <w:name w:val="Hyperlink"/>
    <w:basedOn w:val="Standardnpsmoodstavce"/>
    <w:uiPriority w:val="99"/>
    <w:unhideWhenUsed/>
    <w:rsid w:val="0034121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4121C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2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3E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03A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1B8D4-3C88-4A7E-820C-4AA2CBF05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2387</Words>
  <Characters>14087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Korandová Michaela</dc:creator>
  <cp:keywords/>
  <dc:description/>
  <cp:lastModifiedBy>Papík Miroslav</cp:lastModifiedBy>
  <cp:revision>6</cp:revision>
  <dcterms:created xsi:type="dcterms:W3CDTF">2026-01-22T11:02:00Z</dcterms:created>
  <dcterms:modified xsi:type="dcterms:W3CDTF">2026-01-22T13:39:00Z</dcterms:modified>
</cp:coreProperties>
</file>