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4DCC6832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701EFB">
        <w:rPr>
          <w:b/>
          <w:sz w:val="28"/>
          <w:szCs w:val="28"/>
        </w:rPr>
        <w:t>Pomezní rybník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1B22E833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881F0A">
        <w:t>k</w:t>
      </w:r>
      <w:r w:rsidR="00881F0A" w:rsidRPr="00881F0A">
        <w:t>ácení postupné s přetažením, včetně rozřezání, odvětvení a manipulace</w:t>
      </w:r>
      <w:r w:rsidR="00881F0A">
        <w:t>, dále j</w:t>
      </w:r>
      <w:r w:rsidR="00881F0A" w:rsidRPr="00881F0A">
        <w:t>ednorázové ruční odstranění keřovitého porostu nad 3 metry výšky a do 10 cm průměru kmene na řezné ploše o rozloze 300 m</w:t>
      </w:r>
      <w:r w:rsidR="00881F0A" w:rsidRPr="00525845">
        <w:rPr>
          <w:vertAlign w:val="superscript"/>
        </w:rPr>
        <w:t>2</w:t>
      </w:r>
      <w:r w:rsidR="007F3FCC">
        <w:t xml:space="preserve">, </w:t>
      </w:r>
      <w:r w:rsidR="00881F0A">
        <w:t>j</w:t>
      </w:r>
      <w:r w:rsidR="00881F0A" w:rsidRPr="00881F0A">
        <w:t xml:space="preserve">ednorázové pokosení metlicových a </w:t>
      </w:r>
      <w:proofErr w:type="spellStart"/>
      <w:r w:rsidR="00881F0A" w:rsidRPr="00881F0A">
        <w:t>ostřicovo</w:t>
      </w:r>
      <w:proofErr w:type="spellEnd"/>
      <w:r w:rsidR="00881F0A" w:rsidRPr="00881F0A">
        <w:t xml:space="preserve"> „slatinných“ porostů o ploše 1.400 m</w:t>
      </w:r>
      <w:r w:rsidR="00881F0A" w:rsidRPr="00525845">
        <w:rPr>
          <w:vertAlign w:val="superscript"/>
        </w:rPr>
        <w:t>2</w:t>
      </w:r>
      <w:r w:rsidR="00881F0A" w:rsidRPr="00881F0A">
        <w:t>, včetně výřezu a vyštípání nově narostlých výmladků,</w:t>
      </w:r>
      <w:r w:rsidR="00881F0A">
        <w:t xml:space="preserve"> </w:t>
      </w:r>
      <w:r w:rsidR="007F3FCC">
        <w:t xml:space="preserve">a nakonec </w:t>
      </w:r>
      <w:r w:rsidR="00D50BA5">
        <w:t>j</w:t>
      </w:r>
      <w:r w:rsidR="00D50BA5" w:rsidRPr="00D50BA5">
        <w:t>ednorázový úklid odpadků v ploše rezervace a přilehlé odpočívací plochy, a to v rozmezí od doby po dokončení všech ostatních prací (viz výše) do doby před převzetí</w:t>
      </w:r>
      <w:r w:rsidR="00D50BA5">
        <w:t>m</w:t>
      </w:r>
      <w:r w:rsidR="00D50BA5" w:rsidRPr="00D50BA5">
        <w:t xml:space="preserve"> prací objednatelem</w:t>
      </w:r>
      <w:r w:rsidR="00D50BA5">
        <w:t xml:space="preserve"> </w:t>
      </w:r>
      <w:r w:rsidR="00881F0A">
        <w:t xml:space="preserve">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d</w:t>
      </w:r>
      <w:r w:rsidR="00BC029C" w:rsidRPr="00BC029C">
        <w:t xml:space="preserve">eponace </w:t>
      </w:r>
      <w:r w:rsidR="00D50BA5">
        <w:t xml:space="preserve">hroubí, </w:t>
      </w:r>
      <w:proofErr w:type="spellStart"/>
      <w:r w:rsidR="00D50BA5">
        <w:t>nehroubí</w:t>
      </w:r>
      <w:proofErr w:type="spellEnd"/>
      <w:r w:rsidR="00982096">
        <w:t>, vyřezané a pokosené hmoty mimo plochu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61AC0C51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544E22">
        <w:rPr>
          <w:szCs w:val="22"/>
        </w:rPr>
        <w:t>Přírodní rezervace Pomezní rybník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4F09B0D2" w:rsidR="002F3957" w:rsidRDefault="002F3957" w:rsidP="00F207A6">
      <w:pPr>
        <w:rPr>
          <w:sz w:val="28"/>
        </w:rPr>
      </w:pPr>
    </w:p>
    <w:p w14:paraId="41D14D11" w14:textId="15866AC8" w:rsidR="009660F1" w:rsidRDefault="009660F1" w:rsidP="00F207A6">
      <w:pPr>
        <w:rPr>
          <w:sz w:val="28"/>
        </w:rPr>
      </w:pPr>
    </w:p>
    <w:p w14:paraId="60BB39D2" w14:textId="77777777" w:rsidR="009660F1" w:rsidRDefault="009660F1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lastRenderedPageBreak/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5C3BB8AE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9660F1">
        <w:rPr>
          <w:b/>
        </w:rPr>
        <w:t>177.271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7807A89D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525845" w:rsidRPr="00525845">
        <w:rPr>
          <w:b/>
        </w:rPr>
        <w:t>26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5213EC" w:rsidRPr="00525845">
        <w:rPr>
          <w:b/>
        </w:rPr>
        <w:t>0</w:t>
      </w:r>
      <w:r w:rsidR="00525845" w:rsidRPr="00525845">
        <w:rPr>
          <w:b/>
        </w:rPr>
        <w:t>1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6A07C62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682CD3" w:rsidRPr="00525845">
        <w:t>4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77777777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zadávacího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lastRenderedPageBreak/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77777777" w:rsidR="00C3190D" w:rsidRPr="00B60A55" w:rsidRDefault="00C3190D" w:rsidP="00C3190D">
      <w:pPr>
        <w:jc w:val="both"/>
      </w:pPr>
      <w:r w:rsidRPr="00B60A55">
        <w:t>Pokud by spolu s vysvětlením dokumentace zadávacího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054361" w:rsidP="00511FD7">
      <w:pPr>
        <w:jc w:val="both"/>
        <w:rPr>
          <w:rStyle w:val="Hypertextovodkaz"/>
        </w:rPr>
      </w:pPr>
      <w:hyperlink r:id="rId14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5C56AF9" w14:textId="04F0A550" w:rsidR="007B1DF6" w:rsidRDefault="00054361" w:rsidP="00FD5DF4">
      <w:pPr>
        <w:pStyle w:val="Zkladntext2"/>
      </w:pPr>
      <w:hyperlink r:id="rId15" w:history="1">
        <w:r w:rsidRPr="00F75CC3">
          <w:rPr>
            <w:rStyle w:val="Hypertextovodkaz"/>
          </w:rPr>
          <w:t>https://ezak.kr-karlovarsky.cz/vz00009482</w:t>
        </w:r>
      </w:hyperlink>
    </w:p>
    <w:p w14:paraId="65DA9A2A" w14:textId="77777777" w:rsidR="00054361" w:rsidRPr="00B93F3D" w:rsidRDefault="00054361" w:rsidP="00FD5DF4">
      <w:pPr>
        <w:pStyle w:val="Zkladntext2"/>
      </w:pPr>
      <w:bookmarkStart w:id="0" w:name="_GoBack"/>
      <w:bookmarkEnd w:id="0"/>
    </w:p>
    <w:p w14:paraId="45E7A803" w14:textId="54ADC07E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525845" w:rsidRPr="00525845">
        <w:t>19</w:t>
      </w:r>
      <w:r w:rsidR="00CD1D60" w:rsidRPr="00525845">
        <w:t>.</w:t>
      </w:r>
      <w:r w:rsidR="00191227" w:rsidRPr="00540EFA">
        <w:t xml:space="preserve"> </w:t>
      </w:r>
      <w:r w:rsidR="005F5B83">
        <w:t>0</w:t>
      </w:r>
      <w:r w:rsidR="00525845">
        <w:t>1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lastRenderedPageBreak/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2D148DF2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701EFB">
      <w:rPr>
        <w:sz w:val="18"/>
        <w:szCs w:val="22"/>
      </w:rPr>
      <w:t>Pomezní rybník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AD636E">
      <w:rPr>
        <w:sz w:val="18"/>
        <w:szCs w:val="22"/>
      </w:rPr>
      <w:tab/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4576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4361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B1DF6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5D15"/>
    <w:rsid w:val="00A3737E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482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5BC22C-8F72-4D82-9484-FDA53847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3446</TotalTime>
  <Pages>5</Pages>
  <Words>1361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690</cp:revision>
  <cp:lastPrinted>2020-07-02T06:23:00Z</cp:lastPrinted>
  <dcterms:created xsi:type="dcterms:W3CDTF">2020-03-27T09:49:00Z</dcterms:created>
  <dcterms:modified xsi:type="dcterms:W3CDTF">2026-01-19T15:27:00Z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