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3507C8BA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technického dozoru stavebníka na stavbu:                                                          </w:t>
            </w:r>
            <w:r w:rsidR="00BE712B">
              <w:rPr>
                <w:b/>
                <w:bCs/>
              </w:rPr>
              <w:t>II/230 Statické zajištění silnice Bečov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0F5C0B"/>
    <w:rsid w:val="0012306A"/>
    <w:rsid w:val="00132E1B"/>
    <w:rsid w:val="001A583A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E712B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F5C0B"/>
    <w:rsid w:val="00127CBE"/>
    <w:rsid w:val="00342B67"/>
    <w:rsid w:val="0056166A"/>
    <w:rsid w:val="00731290"/>
    <w:rsid w:val="007D0A49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48</cp:revision>
  <dcterms:created xsi:type="dcterms:W3CDTF">2023-06-22T07:05:00Z</dcterms:created>
  <dcterms:modified xsi:type="dcterms:W3CDTF">2025-11-21T10:59:00Z</dcterms:modified>
</cp:coreProperties>
</file>