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6834F2DA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72138B">
        <w:rPr>
          <w:rFonts w:asciiTheme="minorHAnsi" w:hAnsiTheme="minorHAnsi" w:cstheme="minorHAnsi"/>
          <w:b/>
          <w:sz w:val="28"/>
          <w:szCs w:val="28"/>
        </w:rPr>
        <w:t>I</w:t>
      </w:r>
      <w:r w:rsidR="00592D6A">
        <w:rPr>
          <w:rFonts w:asciiTheme="minorHAnsi" w:hAnsiTheme="minorHAnsi" w:cstheme="minorHAnsi"/>
          <w:b/>
          <w:sz w:val="28"/>
          <w:szCs w:val="28"/>
        </w:rPr>
        <w:t>I</w:t>
      </w:r>
      <w:r w:rsidR="0072138B">
        <w:rPr>
          <w:rFonts w:asciiTheme="minorHAnsi" w:hAnsiTheme="minorHAnsi" w:cstheme="minorHAnsi"/>
          <w:b/>
          <w:sz w:val="28"/>
          <w:szCs w:val="28"/>
        </w:rPr>
        <w:t>I/2</w:t>
      </w:r>
      <w:r w:rsidR="00592D6A">
        <w:rPr>
          <w:rFonts w:asciiTheme="minorHAnsi" w:hAnsiTheme="minorHAnsi" w:cstheme="minorHAnsi"/>
          <w:b/>
          <w:sz w:val="28"/>
          <w:szCs w:val="28"/>
        </w:rPr>
        <w:t>26 6</w:t>
      </w:r>
      <w:r w:rsidR="0072138B">
        <w:rPr>
          <w:rFonts w:asciiTheme="minorHAnsi" w:hAnsiTheme="minorHAnsi" w:cstheme="minorHAnsi"/>
          <w:b/>
          <w:sz w:val="28"/>
          <w:szCs w:val="28"/>
        </w:rPr>
        <w:t xml:space="preserve"> Statické zajištění silnice </w:t>
      </w:r>
      <w:r w:rsidR="002B2D71">
        <w:rPr>
          <w:rFonts w:asciiTheme="minorHAnsi" w:hAnsiTheme="minorHAnsi" w:cstheme="minorHAnsi"/>
          <w:b/>
          <w:sz w:val="28"/>
          <w:szCs w:val="28"/>
        </w:rPr>
        <w:t>Poříčí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Proconom</w:t>
      </w:r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5D524AB9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3819C5">
        <w:rPr>
          <w:rFonts w:ascii="Book Antiqua" w:eastAsia="Arial" w:hAnsi="Book Antiqua" w:cs="Arial"/>
        </w:rPr>
        <w:t>I</w:t>
      </w:r>
      <w:r w:rsidR="00826CE5">
        <w:rPr>
          <w:rFonts w:ascii="Book Antiqua" w:eastAsia="Arial" w:hAnsi="Book Antiqua" w:cs="Arial"/>
        </w:rPr>
        <w:t>I</w:t>
      </w:r>
      <w:r w:rsidR="003819C5">
        <w:rPr>
          <w:rFonts w:ascii="Book Antiqua" w:eastAsia="Arial" w:hAnsi="Book Antiqua" w:cs="Arial"/>
        </w:rPr>
        <w:t>I/2</w:t>
      </w:r>
      <w:r w:rsidR="00826CE5">
        <w:rPr>
          <w:rFonts w:ascii="Book Antiqua" w:eastAsia="Arial" w:hAnsi="Book Antiqua" w:cs="Arial"/>
        </w:rPr>
        <w:t>26 6</w:t>
      </w:r>
      <w:r w:rsidR="003819C5">
        <w:rPr>
          <w:rFonts w:ascii="Book Antiqua" w:eastAsia="Arial" w:hAnsi="Book Antiqua" w:cs="Arial"/>
        </w:rPr>
        <w:t xml:space="preserve"> Statické zajištění silnice </w:t>
      </w:r>
      <w:r w:rsidR="00826CE5">
        <w:rPr>
          <w:rFonts w:ascii="Book Antiqua" w:eastAsia="Arial" w:hAnsi="Book Antiqua" w:cs="Arial"/>
        </w:rPr>
        <w:t>Poříčí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11EBD478" w14:textId="77777777" w:rsidR="00BC7844" w:rsidRDefault="00BC7844" w:rsidP="00BC7844">
      <w:pPr>
        <w:ind w:firstLine="709"/>
        <w:contextualSpacing/>
        <w:jc w:val="both"/>
        <w:rPr>
          <w:rFonts w:ascii="Book Antiqua" w:hAnsi="Book Antiqua"/>
        </w:rPr>
      </w:pPr>
      <w:bookmarkStart w:id="1" w:name="_Hlk181614919"/>
      <w:bookmarkStart w:id="2" w:name="_Toc65664797"/>
      <w:r w:rsidRPr="001F5F97">
        <w:rPr>
          <w:rFonts w:ascii="Book Antiqua" w:hAnsi="Book Antiqua"/>
        </w:rPr>
        <w:t xml:space="preserve">CDE Objednatele </w:t>
      </w:r>
      <w:r>
        <w:rPr>
          <w:rFonts w:ascii="Book Antiqua" w:hAnsi="Book Antiqua"/>
        </w:rPr>
        <w:t>splňuje definici standardu OpenAPI. Tento standard popisuje API ve strojově čitelném formátu. Díky tomu lze jednoduše vytvořit propojení s jinými nástroji (programy), které toto rozhraní dokáží využít.</w:t>
      </w:r>
    </w:p>
    <w:bookmarkEnd w:id="1"/>
    <w:p w14:paraId="1F42A848" w14:textId="77777777" w:rsidR="00BC7844" w:rsidRPr="001F5F97" w:rsidRDefault="00BC7844" w:rsidP="00BC7844">
      <w:pPr>
        <w:ind w:firstLine="709"/>
        <w:contextualSpacing/>
        <w:rPr>
          <w:rFonts w:ascii="Book Antiqua" w:hAnsi="Book Antiqua"/>
        </w:rPr>
      </w:pPr>
    </w:p>
    <w:p w14:paraId="5B3E9DD5" w14:textId="77777777" w:rsidR="00BC7844" w:rsidRPr="00D916FC" w:rsidRDefault="00BC7844" w:rsidP="00BC7844">
      <w:pPr>
        <w:ind w:firstLine="709"/>
        <w:contextualSpacing/>
        <w:jc w:val="both"/>
        <w:rPr>
          <w:rFonts w:ascii="Book Antiqua" w:eastAsia="Arial" w:hAnsi="Book Antiqua" w:cs="Arial"/>
        </w:rPr>
      </w:pPr>
      <w:bookmarkStart w:id="3" w:name="_Hlk181614969"/>
      <w:r>
        <w:rPr>
          <w:rFonts w:ascii="Book Antiqua" w:eastAsia="Arial" w:hAnsi="Book Antiqua" w:cs="Arial"/>
        </w:rPr>
        <w:t>Bližší informace ke standardu OpenAPI</w:t>
      </w:r>
      <w:r w:rsidRPr="00D916FC">
        <w:rPr>
          <w:rFonts w:ascii="Book Antiqua" w:eastAsia="Arial" w:hAnsi="Book Antiqua" w:cs="Arial"/>
        </w:rPr>
        <w:t xml:space="preserve"> j</w:t>
      </w:r>
      <w:r>
        <w:rPr>
          <w:rFonts w:ascii="Book Antiqua" w:eastAsia="Arial" w:hAnsi="Book Antiqua" w:cs="Arial"/>
        </w:rPr>
        <w:t>sou</w:t>
      </w:r>
      <w:r w:rsidRPr="00D916FC">
        <w:rPr>
          <w:rFonts w:ascii="Book Antiqua" w:eastAsia="Arial" w:hAnsi="Book Antiqua" w:cs="Arial"/>
        </w:rPr>
        <w:t xml:space="preserve"> k dispozici na webové adrese:</w:t>
      </w:r>
    </w:p>
    <w:bookmarkStart w:id="4" w:name="_Hlk181615008"/>
    <w:bookmarkStart w:id="5" w:name="_Toc65664796"/>
    <w:bookmarkEnd w:id="3"/>
    <w:p w14:paraId="0C39DFC1" w14:textId="77777777" w:rsidR="00BC7844" w:rsidRDefault="00BC7844" w:rsidP="00BC7844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</w:t>
      </w:r>
      <w:r>
        <w:rPr>
          <w:rStyle w:val="Hypertextovodkaz"/>
          <w:color w:val="auto"/>
        </w:rPr>
        <w:t>openapis.org</w:t>
      </w:r>
      <w:r w:rsidRPr="00D916FC">
        <w:rPr>
          <w:rStyle w:val="Hypertextovodkaz"/>
          <w:color w:val="auto"/>
        </w:rPr>
        <w:t>/</w:t>
      </w:r>
      <w:r w:rsidRPr="00D916FC">
        <w:fldChar w:fldCharType="end"/>
      </w:r>
    </w:p>
    <w:bookmarkEnd w:id="4"/>
    <w:p w14:paraId="2349ADC1" w14:textId="77777777" w:rsidR="00BC7844" w:rsidRPr="002114D5" w:rsidRDefault="00BC7844" w:rsidP="00BC7844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bookmarkEnd w:id="5"/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(.pdf, .txt,.)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Definice a správa defaultních pracovních postupů (podpora pracovních postupů - workflow).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6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6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7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7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287819E2" w:rsidR="517825E7" w:rsidRDefault="517825E7" w:rsidP="00631D90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7E1A7900" w14:textId="77777777" w:rsid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1737754F" w14:textId="77777777" w:rsidR="00631D90" w:rsidRP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52D25747" w14:textId="6001CCD9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8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8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čá.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>Licenční podmínky CDE Proconom</w:t>
      </w:r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730F54BC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Proconom,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Proconom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DC7971">
        <w:rPr>
          <w:rFonts w:ascii="Book Antiqua" w:eastAsia="Arial" w:hAnsi="Book Antiqua" w:cs="Arial"/>
        </w:rPr>
        <w:t>II</w:t>
      </w:r>
      <w:r w:rsidR="00877F45">
        <w:rPr>
          <w:rFonts w:ascii="Book Antiqua" w:eastAsia="Arial" w:hAnsi="Book Antiqua" w:cs="Arial"/>
        </w:rPr>
        <w:t>I</w:t>
      </w:r>
      <w:r w:rsidR="00DC7971">
        <w:rPr>
          <w:rFonts w:ascii="Book Antiqua" w:eastAsia="Arial" w:hAnsi="Book Antiqua" w:cs="Arial"/>
        </w:rPr>
        <w:t>/2</w:t>
      </w:r>
      <w:r w:rsidR="00877F45">
        <w:rPr>
          <w:rFonts w:ascii="Book Antiqua" w:eastAsia="Arial" w:hAnsi="Book Antiqua" w:cs="Arial"/>
        </w:rPr>
        <w:t>26 6</w:t>
      </w:r>
      <w:r w:rsidR="00DC7971">
        <w:rPr>
          <w:rFonts w:ascii="Book Antiqua" w:eastAsia="Arial" w:hAnsi="Book Antiqua" w:cs="Arial"/>
        </w:rPr>
        <w:t xml:space="preserve"> Statické zajištění silnice</w:t>
      </w:r>
      <w:r w:rsidR="008A3262">
        <w:rPr>
          <w:rFonts w:ascii="Book Antiqua" w:eastAsia="Arial" w:hAnsi="Book Antiqua" w:cs="Arial"/>
        </w:rPr>
        <w:t xml:space="preserve"> Poříčí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41C438AB" w14:textId="77777777" w:rsidR="00631D90" w:rsidRPr="00387950" w:rsidRDefault="00631D90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>Rozsah použití CDE Proconom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4D1049D5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F620DA">
        <w:rPr>
          <w:rFonts w:ascii="Book Antiqua" w:eastAsia="Arial" w:hAnsi="Book Antiqua" w:cs="Arial"/>
        </w:rPr>
        <w:t>II</w:t>
      </w:r>
      <w:r w:rsidR="004803AA">
        <w:rPr>
          <w:rFonts w:ascii="Book Antiqua" w:eastAsia="Arial" w:hAnsi="Book Antiqua" w:cs="Arial"/>
        </w:rPr>
        <w:t>I</w:t>
      </w:r>
      <w:r w:rsidR="00F620DA">
        <w:rPr>
          <w:rFonts w:ascii="Book Antiqua" w:eastAsia="Arial" w:hAnsi="Book Antiqua" w:cs="Arial"/>
        </w:rPr>
        <w:t>/2</w:t>
      </w:r>
      <w:r w:rsidR="004803AA">
        <w:rPr>
          <w:rFonts w:ascii="Book Antiqua" w:eastAsia="Arial" w:hAnsi="Book Antiqua" w:cs="Arial"/>
        </w:rPr>
        <w:t>26 6</w:t>
      </w:r>
      <w:r w:rsidR="00F620DA">
        <w:rPr>
          <w:rFonts w:ascii="Book Antiqua" w:eastAsia="Arial" w:hAnsi="Book Antiqua" w:cs="Arial"/>
        </w:rPr>
        <w:t xml:space="preserve"> Statické zajištění silni</w:t>
      </w:r>
      <w:r w:rsidR="004803AA">
        <w:rPr>
          <w:rFonts w:ascii="Book Antiqua" w:eastAsia="Arial" w:hAnsi="Book Antiqua" w:cs="Arial"/>
        </w:rPr>
        <w:t>ce Poříčí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>kompatibilitu a přenos dat a dokumentů do systému Objednatele CDE Proconom.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Workflow</w:t>
      </w:r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EDA1F" w14:textId="77777777" w:rsidR="000E7012" w:rsidRDefault="000E7012" w:rsidP="009D02D2">
      <w:pPr>
        <w:spacing w:after="0" w:line="240" w:lineRule="auto"/>
      </w:pPr>
      <w:r>
        <w:separator/>
      </w:r>
    </w:p>
  </w:endnote>
  <w:endnote w:type="continuationSeparator" w:id="0">
    <w:p w14:paraId="58BD2556" w14:textId="77777777" w:rsidR="000E7012" w:rsidRDefault="000E7012" w:rsidP="009D02D2">
      <w:pPr>
        <w:spacing w:after="0" w:line="240" w:lineRule="auto"/>
      </w:pPr>
      <w:r>
        <w:continuationSeparator/>
      </w:r>
    </w:p>
  </w:endnote>
  <w:endnote w:type="continuationNotice" w:id="1">
    <w:p w14:paraId="33B7915E" w14:textId="77777777" w:rsidR="000E7012" w:rsidRDefault="000E70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8064267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D4B77" w14:textId="77777777" w:rsidR="000E7012" w:rsidRDefault="000E7012" w:rsidP="009D02D2">
      <w:pPr>
        <w:spacing w:after="0" w:line="240" w:lineRule="auto"/>
      </w:pPr>
      <w:r>
        <w:separator/>
      </w:r>
    </w:p>
  </w:footnote>
  <w:footnote w:type="continuationSeparator" w:id="0">
    <w:p w14:paraId="3B1C1940" w14:textId="77777777" w:rsidR="000E7012" w:rsidRDefault="000E7012" w:rsidP="009D02D2">
      <w:pPr>
        <w:spacing w:after="0" w:line="240" w:lineRule="auto"/>
      </w:pPr>
      <w:r>
        <w:continuationSeparator/>
      </w:r>
    </w:p>
  </w:footnote>
  <w:footnote w:type="continuationNotice" w:id="1">
    <w:p w14:paraId="142EC14A" w14:textId="77777777" w:rsidR="000E7012" w:rsidRDefault="000E70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04B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1BF3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E7012"/>
    <w:rsid w:val="000F1D33"/>
    <w:rsid w:val="000F268C"/>
    <w:rsid w:val="000F632B"/>
    <w:rsid w:val="00101238"/>
    <w:rsid w:val="001039EE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2AFB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1907"/>
    <w:rsid w:val="00244384"/>
    <w:rsid w:val="00251196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2D71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19C5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1660"/>
    <w:rsid w:val="003B17A6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03AA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86EE2"/>
    <w:rsid w:val="00590417"/>
    <w:rsid w:val="005905DE"/>
    <w:rsid w:val="00592D6A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90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617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5264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138B"/>
    <w:rsid w:val="00723BF9"/>
    <w:rsid w:val="00724646"/>
    <w:rsid w:val="00726FF7"/>
    <w:rsid w:val="0073266F"/>
    <w:rsid w:val="007331E2"/>
    <w:rsid w:val="00737EEF"/>
    <w:rsid w:val="00740AEA"/>
    <w:rsid w:val="007415C1"/>
    <w:rsid w:val="00741749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1F56"/>
    <w:rsid w:val="00812330"/>
    <w:rsid w:val="00813034"/>
    <w:rsid w:val="00816464"/>
    <w:rsid w:val="00820C18"/>
    <w:rsid w:val="00822F33"/>
    <w:rsid w:val="00826CE5"/>
    <w:rsid w:val="008304C6"/>
    <w:rsid w:val="00835EB8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77F45"/>
    <w:rsid w:val="00880A9B"/>
    <w:rsid w:val="0089016F"/>
    <w:rsid w:val="00894441"/>
    <w:rsid w:val="00896B27"/>
    <w:rsid w:val="008A0734"/>
    <w:rsid w:val="008A2B08"/>
    <w:rsid w:val="008A3262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36C83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44B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2F0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6BD9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C7844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342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6546E"/>
    <w:rsid w:val="00C72190"/>
    <w:rsid w:val="00C76417"/>
    <w:rsid w:val="00C802C7"/>
    <w:rsid w:val="00C817F3"/>
    <w:rsid w:val="00C863C6"/>
    <w:rsid w:val="00C91787"/>
    <w:rsid w:val="00C92420"/>
    <w:rsid w:val="00C93E80"/>
    <w:rsid w:val="00CA0482"/>
    <w:rsid w:val="00CA0AEE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520A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C7971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20DA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07A8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4B6"/>
    <w:rsid w:val="00FD1E39"/>
    <w:rsid w:val="00FD2D5E"/>
    <w:rsid w:val="00FD3063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2D8C6"/>
  <w15:docId w15:val="{5553CAB3-A06E-4379-ADED-A7E5147E2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1034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Kadlec Rostislav</cp:lastModifiedBy>
  <cp:revision>15</cp:revision>
  <dcterms:created xsi:type="dcterms:W3CDTF">2022-03-08T11:30:00Z</dcterms:created>
  <dcterms:modified xsi:type="dcterms:W3CDTF">2025-11-05T13:30:00Z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