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47436" w:rsidRPr="00AC2867" w14:paraId="6A8F431C" w14:textId="77777777" w:rsidTr="000809EA">
        <w:tc>
          <w:tcPr>
            <w:tcW w:w="9634" w:type="dxa"/>
          </w:tcPr>
          <w:p w14:paraId="2D2B209F" w14:textId="655A3B82" w:rsidR="00B47436" w:rsidRPr="00AC2867" w:rsidRDefault="00B47436" w:rsidP="0063261B">
            <w:pPr>
              <w:spacing w:before="60" w:after="60"/>
              <w:jc w:val="center"/>
              <w:rPr>
                <w:b/>
                <w:sz w:val="22"/>
                <w:szCs w:val="32"/>
              </w:rPr>
            </w:pPr>
            <w:r w:rsidRPr="00AC2867">
              <w:rPr>
                <w:b/>
                <w:sz w:val="22"/>
                <w:szCs w:val="32"/>
              </w:rPr>
              <w:t xml:space="preserve">Čestné prohlášení </w:t>
            </w:r>
            <w:r w:rsidR="00AC2867" w:rsidRPr="00AC2867">
              <w:rPr>
                <w:b/>
                <w:sz w:val="22"/>
                <w:szCs w:val="32"/>
              </w:rPr>
              <w:t>ve vztahu k mezinárodním sankcím</w:t>
            </w:r>
          </w:p>
        </w:tc>
      </w:tr>
      <w:tr w:rsidR="00B47436" w:rsidRPr="00AC2867" w14:paraId="66074418" w14:textId="77777777" w:rsidTr="000809EA">
        <w:tc>
          <w:tcPr>
            <w:tcW w:w="9634" w:type="dxa"/>
          </w:tcPr>
          <w:p w14:paraId="150E70BA" w14:textId="77777777" w:rsidR="00B47436" w:rsidRPr="00AC2867" w:rsidRDefault="00B47436" w:rsidP="0063261B">
            <w:pPr>
              <w:spacing w:before="60" w:after="60"/>
              <w:jc w:val="center"/>
              <w:rPr>
                <w:b/>
                <w:sz w:val="22"/>
              </w:rPr>
            </w:pPr>
            <w:r w:rsidRPr="00AC2867">
              <w:rPr>
                <w:b/>
                <w:sz w:val="22"/>
              </w:rPr>
              <w:t>Veřejná zakázka</w:t>
            </w:r>
          </w:p>
        </w:tc>
      </w:tr>
      <w:tr w:rsidR="00B47436" w:rsidRPr="00AC2867" w14:paraId="3B117FCF" w14:textId="77777777" w:rsidTr="000809EA">
        <w:trPr>
          <w:trHeight w:val="408"/>
        </w:trPr>
        <w:tc>
          <w:tcPr>
            <w:tcW w:w="9634" w:type="dxa"/>
          </w:tcPr>
          <w:p w14:paraId="3B3C515E" w14:textId="77777777" w:rsidR="002B64F7" w:rsidRPr="00AC2867" w:rsidRDefault="002B64F7" w:rsidP="002B64F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AC2867">
              <w:rPr>
                <w:rFonts w:eastAsia="Calibri"/>
                <w:b/>
                <w:color w:val="000000"/>
                <w:sz w:val="22"/>
                <w:szCs w:val="22"/>
              </w:rPr>
              <w:t xml:space="preserve">Zpracování studií proveditelnosti k projektům </w:t>
            </w:r>
          </w:p>
          <w:p w14:paraId="140A4F5B" w14:textId="77777777" w:rsidR="002B64F7" w:rsidRPr="00AC2867" w:rsidRDefault="002B64F7" w:rsidP="002B64F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AC2867">
              <w:rPr>
                <w:rFonts w:eastAsia="Calibri"/>
                <w:b/>
                <w:color w:val="000000"/>
                <w:sz w:val="22"/>
                <w:szCs w:val="22"/>
              </w:rPr>
              <w:t>„Výstavba urgentního příjmu nem</w:t>
            </w:r>
            <w:bookmarkStart w:id="0" w:name="_GoBack"/>
            <w:bookmarkEnd w:id="0"/>
            <w:r w:rsidRPr="00AC2867">
              <w:rPr>
                <w:rFonts w:eastAsia="Calibri"/>
                <w:b/>
                <w:color w:val="000000"/>
                <w:sz w:val="22"/>
                <w:szCs w:val="22"/>
              </w:rPr>
              <w:t>ocnice Sokolov“ a</w:t>
            </w:r>
          </w:p>
          <w:p w14:paraId="3C87A6A9" w14:textId="6A92FF1E" w:rsidR="00B47436" w:rsidRPr="00AC2867" w:rsidRDefault="002B64F7" w:rsidP="002B64F7">
            <w:pPr>
              <w:ind w:left="360"/>
              <w:jc w:val="center"/>
              <w:rPr>
                <w:b/>
                <w:sz w:val="22"/>
              </w:rPr>
            </w:pPr>
            <w:r w:rsidRPr="00AC2867">
              <w:rPr>
                <w:b/>
                <w:sz w:val="22"/>
                <w:szCs w:val="22"/>
              </w:rPr>
              <w:t>„Výstavba urgentního příjmu nemocnice Cheb“</w:t>
            </w:r>
          </w:p>
        </w:tc>
      </w:tr>
    </w:tbl>
    <w:p w14:paraId="2960ED96" w14:textId="77777777" w:rsidR="00B47436" w:rsidRDefault="00B47436" w:rsidP="00B4743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366EAE" w14:paraId="0FDF9C94" w14:textId="77777777" w:rsidTr="00AC2867">
        <w:trPr>
          <w:trHeight w:val="34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6874E9D" w14:textId="77777777" w:rsidR="00B47436" w:rsidRPr="00AC2867" w:rsidRDefault="00B47436" w:rsidP="00357094">
            <w:pPr>
              <w:rPr>
                <w:b/>
                <w:sz w:val="22"/>
              </w:rPr>
            </w:pPr>
            <w:r w:rsidRPr="00AC2867">
              <w:rPr>
                <w:b/>
                <w:sz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AC2867">
        <w:trPr>
          <w:trHeight w:val="307"/>
        </w:trPr>
        <w:tc>
          <w:tcPr>
            <w:tcW w:w="1203" w:type="pct"/>
            <w:shd w:val="clear" w:color="auto" w:fill="auto"/>
            <w:vAlign w:val="center"/>
          </w:tcPr>
          <w:p w14:paraId="10868E72" w14:textId="77777777" w:rsidR="00B47436" w:rsidRPr="00AC2867" w:rsidRDefault="00B47436" w:rsidP="00357094">
            <w:pPr>
              <w:pStyle w:val="Standard"/>
              <w:rPr>
                <w:b/>
                <w:sz w:val="22"/>
              </w:rPr>
            </w:pPr>
            <w:r w:rsidRPr="00AC2867">
              <w:rPr>
                <w:b/>
                <w:sz w:val="22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5135321" w14:textId="77777777" w:rsidR="00B47436" w:rsidRPr="00AC2867" w:rsidRDefault="00B47436" w:rsidP="00357094">
            <w:pPr>
              <w:rPr>
                <w:sz w:val="22"/>
              </w:rPr>
            </w:pPr>
          </w:p>
        </w:tc>
      </w:tr>
      <w:tr w:rsidR="00B47436" w:rsidRPr="00366EAE" w14:paraId="3E2E6DE8" w14:textId="77777777" w:rsidTr="00AC2867">
        <w:trPr>
          <w:trHeight w:val="269"/>
        </w:trPr>
        <w:tc>
          <w:tcPr>
            <w:tcW w:w="1203" w:type="pct"/>
            <w:shd w:val="clear" w:color="auto" w:fill="auto"/>
            <w:vAlign w:val="center"/>
          </w:tcPr>
          <w:p w14:paraId="4E05710E" w14:textId="77777777" w:rsidR="00B47436" w:rsidRPr="00AC2867" w:rsidRDefault="00B47436" w:rsidP="00357094">
            <w:pPr>
              <w:pStyle w:val="Standard"/>
              <w:rPr>
                <w:b/>
                <w:sz w:val="22"/>
              </w:rPr>
            </w:pPr>
            <w:r w:rsidRPr="00AC2867">
              <w:rPr>
                <w:b/>
                <w:sz w:val="22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1CF0638" w14:textId="77777777" w:rsidR="00B47436" w:rsidRPr="00AC2867" w:rsidRDefault="00B47436" w:rsidP="00357094">
            <w:pPr>
              <w:rPr>
                <w:sz w:val="22"/>
              </w:rPr>
            </w:pPr>
          </w:p>
        </w:tc>
      </w:tr>
      <w:tr w:rsidR="00B47436" w:rsidRPr="00366EAE" w14:paraId="7C32452E" w14:textId="77777777" w:rsidTr="00AC2867">
        <w:trPr>
          <w:trHeight w:val="235"/>
        </w:trPr>
        <w:tc>
          <w:tcPr>
            <w:tcW w:w="1203" w:type="pct"/>
            <w:shd w:val="clear" w:color="auto" w:fill="auto"/>
            <w:vAlign w:val="center"/>
          </w:tcPr>
          <w:p w14:paraId="163B35C6" w14:textId="77777777" w:rsidR="00B47436" w:rsidRPr="00AC2867" w:rsidRDefault="00B47436" w:rsidP="00357094">
            <w:pPr>
              <w:pStyle w:val="Standard"/>
              <w:rPr>
                <w:b/>
                <w:sz w:val="22"/>
              </w:rPr>
            </w:pPr>
            <w:r w:rsidRPr="00AC2867">
              <w:rPr>
                <w:b/>
                <w:sz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88AB442" w14:textId="77777777" w:rsidR="00B47436" w:rsidRPr="00AC2867" w:rsidRDefault="00B47436" w:rsidP="00357094">
            <w:pPr>
              <w:rPr>
                <w:sz w:val="22"/>
              </w:rPr>
            </w:pPr>
          </w:p>
        </w:tc>
      </w:tr>
      <w:tr w:rsidR="00B47436" w:rsidRPr="00366EAE" w14:paraId="1BD35627" w14:textId="77777777" w:rsidTr="00AC2867">
        <w:trPr>
          <w:trHeight w:val="149"/>
        </w:trPr>
        <w:tc>
          <w:tcPr>
            <w:tcW w:w="1203" w:type="pct"/>
            <w:shd w:val="clear" w:color="auto" w:fill="auto"/>
            <w:vAlign w:val="center"/>
          </w:tcPr>
          <w:p w14:paraId="2F94E3A2" w14:textId="77777777" w:rsidR="00B47436" w:rsidRPr="00AC2867" w:rsidRDefault="00B47436" w:rsidP="00357094">
            <w:pPr>
              <w:pStyle w:val="Standard"/>
              <w:rPr>
                <w:b/>
                <w:sz w:val="22"/>
              </w:rPr>
            </w:pPr>
            <w:r w:rsidRPr="00AC2867">
              <w:rPr>
                <w:b/>
                <w:sz w:val="22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DED834E" w14:textId="77777777" w:rsidR="00B47436" w:rsidRPr="00AC2867" w:rsidRDefault="00B47436" w:rsidP="00357094">
            <w:pPr>
              <w:rPr>
                <w:sz w:val="22"/>
              </w:rPr>
            </w:pPr>
          </w:p>
        </w:tc>
      </w:tr>
      <w:tr w:rsidR="00B47436" w:rsidRPr="00366EAE" w14:paraId="3F9D5C9E" w14:textId="77777777" w:rsidTr="00AC2867">
        <w:trPr>
          <w:trHeight w:val="291"/>
        </w:trPr>
        <w:tc>
          <w:tcPr>
            <w:tcW w:w="1203" w:type="pct"/>
            <w:shd w:val="clear" w:color="auto" w:fill="auto"/>
            <w:vAlign w:val="center"/>
          </w:tcPr>
          <w:p w14:paraId="159CD1BD" w14:textId="77777777" w:rsidR="00B47436" w:rsidRPr="00AC2867" w:rsidRDefault="00B47436" w:rsidP="00357094">
            <w:pPr>
              <w:pStyle w:val="Standard"/>
              <w:rPr>
                <w:b/>
                <w:sz w:val="22"/>
              </w:rPr>
            </w:pPr>
            <w:r w:rsidRPr="00AC2867">
              <w:rPr>
                <w:b/>
                <w:sz w:val="22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C2702A6" w14:textId="77777777" w:rsidR="00B47436" w:rsidRPr="00AC2867" w:rsidRDefault="00B47436" w:rsidP="00357094">
            <w:pPr>
              <w:rPr>
                <w:sz w:val="22"/>
              </w:rPr>
            </w:pPr>
          </w:p>
        </w:tc>
      </w:tr>
      <w:tr w:rsidR="00D95DB3" w:rsidRPr="00366EAE" w14:paraId="01E208A9" w14:textId="77777777" w:rsidTr="00AC2867">
        <w:trPr>
          <w:trHeight w:val="241"/>
        </w:trPr>
        <w:tc>
          <w:tcPr>
            <w:tcW w:w="1203" w:type="pct"/>
            <w:shd w:val="clear" w:color="auto" w:fill="auto"/>
            <w:vAlign w:val="center"/>
          </w:tcPr>
          <w:p w14:paraId="12F6E9BA" w14:textId="77777777" w:rsidR="00D95DB3" w:rsidRPr="00AC2867" w:rsidRDefault="00D95DB3" w:rsidP="00357094">
            <w:pPr>
              <w:pStyle w:val="Standard"/>
              <w:rPr>
                <w:b/>
                <w:sz w:val="22"/>
              </w:rPr>
            </w:pPr>
            <w:r w:rsidRPr="00AC2867">
              <w:rPr>
                <w:b/>
                <w:sz w:val="22"/>
              </w:rPr>
              <w:t>Tel. kontakt: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5712D42" w14:textId="77777777" w:rsidR="00D95DB3" w:rsidRPr="00AC2867" w:rsidRDefault="00D95DB3" w:rsidP="00357094">
            <w:pPr>
              <w:rPr>
                <w:sz w:val="22"/>
              </w:rPr>
            </w:pPr>
          </w:p>
        </w:tc>
      </w:tr>
    </w:tbl>
    <w:p w14:paraId="5772DA0A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6C2396A3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2C56D65D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14:paraId="1A6A7E09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53996F1F" w14:textId="77777777" w:rsidR="00AC2867" w:rsidRDefault="00AC2867" w:rsidP="00AC2867">
      <w:pPr>
        <w:pStyle w:val="Odstavecseseznamem"/>
        <w:widowControl w:val="0"/>
        <w:numPr>
          <w:ilvl w:val="0"/>
          <w:numId w:val="10"/>
        </w:numPr>
        <w:tabs>
          <w:tab w:val="left" w:pos="417"/>
          <w:tab w:val="left" w:pos="419"/>
        </w:tabs>
        <w:autoSpaceDE w:val="0"/>
        <w:autoSpaceDN w:val="0"/>
        <w:spacing w:before="121" w:line="288" w:lineRule="auto"/>
        <w:ind w:right="424"/>
        <w:contextualSpacing w:val="0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14:paraId="4048CF67" w14:textId="77777777" w:rsidR="00AC2867" w:rsidRDefault="00AC2867" w:rsidP="00AC2867">
      <w:pPr>
        <w:pStyle w:val="Odstavecseseznamem"/>
        <w:widowControl w:val="0"/>
        <w:numPr>
          <w:ilvl w:val="1"/>
          <w:numId w:val="10"/>
        </w:numPr>
        <w:tabs>
          <w:tab w:val="left" w:pos="700"/>
          <w:tab w:val="left" w:pos="702"/>
        </w:tabs>
        <w:autoSpaceDE w:val="0"/>
        <w:autoSpaceDN w:val="0"/>
        <w:spacing w:before="120" w:line="288" w:lineRule="auto"/>
        <w:ind w:right="427"/>
        <w:contextualSpacing w:val="0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14:paraId="444985C6" w14:textId="77777777" w:rsidR="00AC2867" w:rsidRDefault="00AC2867" w:rsidP="00AC2867">
      <w:pPr>
        <w:pStyle w:val="Odstavecseseznamem"/>
        <w:widowControl w:val="0"/>
        <w:numPr>
          <w:ilvl w:val="1"/>
          <w:numId w:val="10"/>
        </w:numPr>
        <w:tabs>
          <w:tab w:val="left" w:pos="700"/>
        </w:tabs>
        <w:autoSpaceDE w:val="0"/>
        <w:autoSpaceDN w:val="0"/>
        <w:ind w:left="700" w:hanging="281"/>
        <w:contextualSpacing w:val="0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14:paraId="539DD139" w14:textId="77777777" w:rsidR="00AC2867" w:rsidRDefault="00AC2867" w:rsidP="00AC2867">
      <w:pPr>
        <w:pStyle w:val="Odstavecseseznamem"/>
        <w:widowControl w:val="0"/>
        <w:numPr>
          <w:ilvl w:val="1"/>
          <w:numId w:val="10"/>
        </w:numPr>
        <w:tabs>
          <w:tab w:val="left" w:pos="701"/>
        </w:tabs>
        <w:autoSpaceDE w:val="0"/>
        <w:autoSpaceDN w:val="0"/>
        <w:spacing w:before="53"/>
        <w:ind w:left="701" w:hanging="282"/>
        <w:contextualSpacing w:val="0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14:paraId="68705ECE" w14:textId="77777777" w:rsidR="00AC2867" w:rsidRDefault="00AC2867" w:rsidP="00AC2867">
      <w:pPr>
        <w:pStyle w:val="Odstavecseseznamem"/>
        <w:widowControl w:val="0"/>
        <w:numPr>
          <w:ilvl w:val="0"/>
          <w:numId w:val="10"/>
        </w:numPr>
        <w:tabs>
          <w:tab w:val="left" w:pos="418"/>
        </w:tabs>
        <w:autoSpaceDE w:val="0"/>
        <w:autoSpaceDN w:val="0"/>
        <w:spacing w:before="173"/>
        <w:ind w:left="418" w:hanging="282"/>
        <w:contextualSpacing w:val="0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14:paraId="39F202A4" w14:textId="77777777" w:rsidR="00AC2867" w:rsidRDefault="00AC2867" w:rsidP="00AC2867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14:paraId="145C2672" w14:textId="77777777" w:rsidR="00AC2867" w:rsidRDefault="00AC2867" w:rsidP="00AC2867">
      <w:pPr>
        <w:pStyle w:val="Odstavecseseznamem"/>
        <w:widowControl w:val="0"/>
        <w:numPr>
          <w:ilvl w:val="0"/>
          <w:numId w:val="10"/>
        </w:numPr>
        <w:tabs>
          <w:tab w:val="left" w:pos="417"/>
          <w:tab w:val="left" w:pos="419"/>
        </w:tabs>
        <w:autoSpaceDE w:val="0"/>
        <w:autoSpaceDN w:val="0"/>
        <w:spacing w:before="120" w:line="288" w:lineRule="auto"/>
        <w:ind w:right="420"/>
        <w:contextualSpacing w:val="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14:paraId="7981AF75" w14:textId="77777777" w:rsidR="00080249" w:rsidRDefault="00080249" w:rsidP="00E7771C">
      <w:pPr>
        <w:jc w:val="both"/>
        <w:rPr>
          <w:bCs/>
          <w:sz w:val="22"/>
          <w:szCs w:val="22"/>
        </w:rPr>
      </w:pPr>
    </w:p>
    <w:p w14:paraId="4C349F4F" w14:textId="17CD5487" w:rsidR="00D95DB3" w:rsidRPr="008A41B1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D95DB3" w:rsidRPr="000535C6" w14:paraId="36A5AF84" w14:textId="77777777" w:rsidTr="00AC2867">
        <w:trPr>
          <w:trHeight w:val="469"/>
        </w:trPr>
        <w:tc>
          <w:tcPr>
            <w:tcW w:w="4557" w:type="dxa"/>
          </w:tcPr>
          <w:p w14:paraId="19D0794F" w14:textId="77777777" w:rsidR="00D95DB3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DCA9CD8" w14:textId="42BB4336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 w:rsidR="00AC2867">
              <w:rPr>
                <w:b/>
                <w:bCs/>
                <w:sz w:val="22"/>
                <w:szCs w:val="22"/>
              </w:rPr>
              <w:t>, podpis</w:t>
            </w:r>
            <w:r>
              <w:rPr>
                <w:b/>
                <w:bCs/>
                <w:sz w:val="22"/>
                <w:szCs w:val="22"/>
              </w:rPr>
              <w:t>:</w:t>
            </w:r>
            <w:r w:rsidR="00BE2DD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0EFFFCF" w14:textId="77777777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62356D0E" w14:textId="77777777" w:rsidR="00D95DB3" w:rsidRPr="000535C6" w:rsidRDefault="00D95DB3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D95DB3" w:rsidRPr="000535C6" w14:paraId="2534AFFA" w14:textId="77777777" w:rsidTr="00432C4D">
        <w:tc>
          <w:tcPr>
            <w:tcW w:w="4557" w:type="dxa"/>
          </w:tcPr>
          <w:p w14:paraId="0D4B3758" w14:textId="77777777" w:rsidR="00D95DB3" w:rsidRDefault="00D95DB3" w:rsidP="00432C4D">
            <w:pPr>
              <w:jc w:val="both"/>
              <w:rPr>
                <w:b/>
                <w:sz w:val="22"/>
                <w:szCs w:val="22"/>
              </w:rPr>
            </w:pPr>
          </w:p>
          <w:p w14:paraId="1996DD06" w14:textId="65BC0DF2" w:rsidR="00D95DB3" w:rsidRDefault="00D95DB3" w:rsidP="00432C4D">
            <w:pPr>
              <w:jc w:val="both"/>
              <w:rPr>
                <w:b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</w:t>
            </w:r>
            <w:r w:rsidR="002054A3">
              <w:rPr>
                <w:b/>
                <w:sz w:val="22"/>
                <w:szCs w:val="22"/>
              </w:rPr>
              <w:t> </w:t>
            </w:r>
            <w:r w:rsidRPr="000535C6">
              <w:rPr>
                <w:b/>
                <w:sz w:val="22"/>
                <w:szCs w:val="22"/>
              </w:rPr>
              <w:t>účastníka:</w:t>
            </w:r>
          </w:p>
          <w:p w14:paraId="4BA9EF8B" w14:textId="77777777" w:rsidR="00D95DB3" w:rsidRPr="000535C6" w:rsidRDefault="00D95DB3" w:rsidP="00432C4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51578275" w14:textId="77777777" w:rsidR="00D95DB3" w:rsidRPr="000535C6" w:rsidRDefault="00D95DB3" w:rsidP="00432C4D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14FCBC1" w14:textId="77777777" w:rsidR="00B47436" w:rsidRPr="000535C6" w:rsidRDefault="00B47436" w:rsidP="004A105A">
      <w:pPr>
        <w:jc w:val="both"/>
        <w:rPr>
          <w:sz w:val="22"/>
          <w:szCs w:val="22"/>
        </w:rPr>
      </w:pPr>
    </w:p>
    <w:sectPr w:rsidR="00B47436" w:rsidRPr="000535C6" w:rsidSect="00A361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42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CD833" w14:textId="37D7093A" w:rsidR="00F332BF" w:rsidRDefault="00B66ACA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EBBA7D1" wp14:editId="579986D9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F33BC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5B88DD3A" w14:textId="77777777" w:rsidR="00274955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2C9BEE49" w14:textId="77777777" w:rsidR="00274955" w:rsidRDefault="00274955" w:rsidP="00274955">
    <w:pPr>
      <w:tabs>
        <w:tab w:val="left" w:pos="4140"/>
        <w:tab w:val="right" w:pos="9180"/>
      </w:tabs>
      <w:jc w:val="center"/>
    </w:pPr>
    <w:r w:rsidRPr="00F13CC3">
      <w:rPr>
        <w:b/>
        <w:sz w:val="16"/>
        <w:szCs w:val="16"/>
      </w:rPr>
      <w:t>tel.:</w:t>
    </w:r>
    <w:r>
      <w:rPr>
        <w:sz w:val="16"/>
        <w:szCs w:val="16"/>
      </w:rPr>
      <w:t xml:space="preserve"> +420 353 502 111,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</w:t>
    </w:r>
    <w:r w:rsidRPr="0093311F">
      <w:rPr>
        <w:b/>
        <w:sz w:val="16"/>
        <w:szCs w:val="16"/>
      </w:rPr>
      <w:t>l:</w:t>
    </w:r>
    <w:r w:rsidRPr="0093311F">
      <w:rPr>
        <w:sz w:val="16"/>
        <w:szCs w:val="16"/>
      </w:rPr>
      <w:t xml:space="preserve"> </w:t>
    </w:r>
    <w:hyperlink r:id="rId1" w:history="1">
      <w:r w:rsidRPr="0093311F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08AB" w14:textId="1F34ADAF" w:rsidR="00F332BF" w:rsidRDefault="00B66ACA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E9EB3F" wp14:editId="4649FB26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10A66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7EA8485" w14:textId="77777777" w:rsidR="00274955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6AEAB722" w14:textId="77777777" w:rsidR="00274955" w:rsidRDefault="00274955" w:rsidP="00274955">
    <w:pPr>
      <w:tabs>
        <w:tab w:val="left" w:pos="4140"/>
        <w:tab w:val="right" w:pos="9180"/>
      </w:tabs>
      <w:jc w:val="center"/>
    </w:pPr>
    <w:r w:rsidRPr="00F13CC3">
      <w:rPr>
        <w:b/>
        <w:sz w:val="16"/>
        <w:szCs w:val="16"/>
      </w:rPr>
      <w:t>tel.:</w:t>
    </w:r>
    <w:r>
      <w:rPr>
        <w:sz w:val="16"/>
        <w:szCs w:val="16"/>
      </w:rPr>
      <w:t xml:space="preserve"> +420 353 502 111,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</w:t>
    </w:r>
    <w:r w:rsidRPr="0093311F">
      <w:rPr>
        <w:b/>
        <w:sz w:val="16"/>
        <w:szCs w:val="16"/>
      </w:rPr>
      <w:t>l:</w:t>
    </w:r>
    <w:r w:rsidRPr="0093311F">
      <w:rPr>
        <w:sz w:val="16"/>
        <w:szCs w:val="16"/>
      </w:rPr>
      <w:t xml:space="preserve"> </w:t>
    </w:r>
    <w:hyperlink r:id="rId1" w:history="1">
      <w:r w:rsidRPr="0093311F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AE0CF" w14:textId="77777777" w:rsidR="001E382E" w:rsidRPr="00C848A7" w:rsidRDefault="001E382E" w:rsidP="001E382E">
    <w:pPr>
      <w:spacing w:after="60"/>
      <w:ind w:left="357"/>
      <w:jc w:val="center"/>
      <w:rPr>
        <w:sz w:val="16"/>
        <w:szCs w:val="16"/>
      </w:rPr>
    </w:pPr>
    <w:r w:rsidRPr="00C848A7">
      <w:rPr>
        <w:sz w:val="16"/>
        <w:szCs w:val="16"/>
      </w:rPr>
      <w:t>Čestné prohlášení ke kvalifikaci – veřejná zakázka malého rozsahu:</w:t>
    </w:r>
  </w:p>
  <w:p w14:paraId="043341DF" w14:textId="46753F52" w:rsidR="001E382E" w:rsidRDefault="002B64F7" w:rsidP="002B64F7">
    <w:pPr>
      <w:pStyle w:val="Zhlav"/>
      <w:pBdr>
        <w:bottom w:val="single" w:sz="4" w:space="1" w:color="auto"/>
      </w:pBdr>
      <w:jc w:val="right"/>
      <w:rPr>
        <w:sz w:val="18"/>
        <w:szCs w:val="18"/>
      </w:rPr>
    </w:pPr>
    <w:r w:rsidRPr="002B64F7">
      <w:rPr>
        <w:sz w:val="16"/>
        <w:szCs w:val="16"/>
      </w:rPr>
      <w:t>Zpracování studií proveditelnosti k projektům „Výstavba urgentního příjmu nemocnice Sokolov“ a</w:t>
    </w:r>
    <w:r>
      <w:rPr>
        <w:sz w:val="16"/>
        <w:szCs w:val="16"/>
      </w:rPr>
      <w:t xml:space="preserve"> </w:t>
    </w:r>
    <w:r w:rsidRPr="002B64F7">
      <w:rPr>
        <w:sz w:val="16"/>
        <w:szCs w:val="16"/>
      </w:rPr>
      <w:t>„Výstavba urgentního příjmu nemocnice Cheb“</w:t>
    </w:r>
    <w:r>
      <w:rPr>
        <w:b/>
        <w:szCs w:val="22"/>
      </w:rPr>
      <w:t xml:space="preserve"> </w:t>
    </w:r>
    <w:r w:rsidR="001E382E" w:rsidRPr="00C93968">
      <w:rPr>
        <w:sz w:val="18"/>
        <w:szCs w:val="18"/>
      </w:rPr>
      <w:t xml:space="preserve">Příloha č. </w:t>
    </w:r>
    <w:r w:rsidR="001E382E">
      <w:rPr>
        <w:sz w:val="18"/>
        <w:szCs w:val="18"/>
      </w:rPr>
      <w:t>2</w:t>
    </w:r>
  </w:p>
  <w:p w14:paraId="3D72BF16" w14:textId="77777777" w:rsidR="001E382E" w:rsidRPr="0082603F" w:rsidRDefault="001E382E" w:rsidP="001E382E">
    <w:pPr>
      <w:ind w:left="360"/>
      <w:jc w:val="center"/>
      <w:rPr>
        <w:sz w:val="18"/>
        <w:szCs w:val="18"/>
      </w:rPr>
    </w:pPr>
  </w:p>
  <w:p w14:paraId="61C98806" w14:textId="4A905FE9" w:rsidR="00DE731E" w:rsidRPr="0082603F" w:rsidRDefault="00DE731E" w:rsidP="002054A3">
    <w:pPr>
      <w:pStyle w:val="Zhlav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B7E78" w14:textId="1520AEA2" w:rsidR="00B83CF1" w:rsidRDefault="00B66ACA" w:rsidP="00C93968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021D3B2" wp14:editId="4C8B3FF0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2B51D" w14:textId="77777777" w:rsidR="00F332BF" w:rsidRDefault="00AC2867" w:rsidP="00AB3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1D3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42F2B51D" w14:textId="77777777" w:rsidR="00F332BF" w:rsidRDefault="00AC2867" w:rsidP="00AB3952"/>
                </w:txbxContent>
              </v:textbox>
            </v:shape>
          </w:pict>
        </mc:Fallback>
      </mc:AlternateContent>
    </w:r>
  </w:p>
  <w:p w14:paraId="152B06F7" w14:textId="48D12FBB" w:rsidR="002054A3" w:rsidRPr="00007B53" w:rsidRDefault="002054A3" w:rsidP="00C93342">
    <w:pPr>
      <w:spacing w:after="60"/>
      <w:ind w:left="357"/>
      <w:jc w:val="center"/>
      <w:rPr>
        <w:sz w:val="16"/>
        <w:szCs w:val="16"/>
      </w:rPr>
    </w:pPr>
    <w:r w:rsidRPr="00007B53">
      <w:rPr>
        <w:sz w:val="16"/>
        <w:szCs w:val="16"/>
      </w:rPr>
      <w:t xml:space="preserve">Čestné prohlášení </w:t>
    </w:r>
    <w:r w:rsidR="00AC2867">
      <w:rPr>
        <w:sz w:val="16"/>
        <w:szCs w:val="16"/>
      </w:rPr>
      <w:t>ve vztahu k mezinárodním sankcím</w:t>
    </w:r>
    <w:r w:rsidRPr="00007B53">
      <w:rPr>
        <w:sz w:val="16"/>
        <w:szCs w:val="16"/>
      </w:rPr>
      <w:t xml:space="preserve"> – veřejná zakázka malého rozsahu:</w:t>
    </w:r>
  </w:p>
  <w:p w14:paraId="008B2926" w14:textId="4BC83520" w:rsidR="002054A3" w:rsidRDefault="002B64F7" w:rsidP="002B64F7">
    <w:pPr>
      <w:jc w:val="center"/>
      <w:rPr>
        <w:sz w:val="18"/>
        <w:szCs w:val="18"/>
      </w:rPr>
    </w:pPr>
    <w:r w:rsidRPr="002B64F7">
      <w:rPr>
        <w:sz w:val="16"/>
        <w:szCs w:val="16"/>
      </w:rPr>
      <w:t>Zpracování studií proveditelnosti k projektům „Výstavba urgentního příjmu nemocnice Sokolov“ a</w:t>
    </w:r>
    <w:r>
      <w:rPr>
        <w:sz w:val="16"/>
        <w:szCs w:val="16"/>
      </w:rPr>
      <w:t xml:space="preserve"> </w:t>
    </w:r>
    <w:r w:rsidRPr="002B64F7">
      <w:rPr>
        <w:sz w:val="16"/>
        <w:szCs w:val="16"/>
      </w:rPr>
      <w:t>„Výstavba urgentního příjmu nemocnice Cheb“</w:t>
    </w:r>
    <w:r>
      <w:rPr>
        <w:b/>
        <w:szCs w:val="22"/>
      </w:rPr>
      <w:t xml:space="preserve"> </w:t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 w:rsidR="002E43AF">
      <w:rPr>
        <w:sz w:val="18"/>
        <w:szCs w:val="18"/>
      </w:rPr>
      <w:t xml:space="preserve">Příloha č. </w:t>
    </w:r>
    <w:r w:rsidR="00AC2867">
      <w:rPr>
        <w:sz w:val="18"/>
        <w:szCs w:val="18"/>
      </w:rPr>
      <w:t>4</w:t>
    </w:r>
  </w:p>
  <w:p w14:paraId="7D62D1DE" w14:textId="38EF27B4" w:rsidR="008B4B52" w:rsidRPr="0082603F" w:rsidRDefault="008B4B52" w:rsidP="002054A3">
    <w:pPr>
      <w:ind w:left="36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C3D0D"/>
    <w:multiLevelType w:val="hybridMultilevel"/>
    <w:tmpl w:val="9E18A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6E49"/>
    <w:multiLevelType w:val="hybridMultilevel"/>
    <w:tmpl w:val="335A6E94"/>
    <w:lvl w:ilvl="0" w:tplc="D00259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7718E9"/>
    <w:multiLevelType w:val="hybridMultilevel"/>
    <w:tmpl w:val="4164135C"/>
    <w:lvl w:ilvl="0" w:tplc="F4BEC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417756"/>
    <w:multiLevelType w:val="hybridMultilevel"/>
    <w:tmpl w:val="C878502C"/>
    <w:lvl w:ilvl="0" w:tplc="0405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5" w15:restartNumberingAfterBreak="0">
    <w:nsid w:val="48511676"/>
    <w:multiLevelType w:val="hybridMultilevel"/>
    <w:tmpl w:val="B756126E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45A4A69"/>
    <w:multiLevelType w:val="hybridMultilevel"/>
    <w:tmpl w:val="E6C23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7B53"/>
    <w:rsid w:val="00045D6C"/>
    <w:rsid w:val="00080249"/>
    <w:rsid w:val="000809EA"/>
    <w:rsid w:val="00086B0F"/>
    <w:rsid w:val="000A33BC"/>
    <w:rsid w:val="000A41D5"/>
    <w:rsid w:val="000A603A"/>
    <w:rsid w:val="000D20F3"/>
    <w:rsid w:val="001220B0"/>
    <w:rsid w:val="00123E52"/>
    <w:rsid w:val="00125BC7"/>
    <w:rsid w:val="001358F8"/>
    <w:rsid w:val="001549D5"/>
    <w:rsid w:val="0017244F"/>
    <w:rsid w:val="00175612"/>
    <w:rsid w:val="00175864"/>
    <w:rsid w:val="001B24A1"/>
    <w:rsid w:val="001E382E"/>
    <w:rsid w:val="002054A3"/>
    <w:rsid w:val="0022199C"/>
    <w:rsid w:val="00274955"/>
    <w:rsid w:val="00290143"/>
    <w:rsid w:val="002A0AF4"/>
    <w:rsid w:val="002B64F7"/>
    <w:rsid w:val="002E39BD"/>
    <w:rsid w:val="002E43AF"/>
    <w:rsid w:val="002F584D"/>
    <w:rsid w:val="00304F8E"/>
    <w:rsid w:val="00335FB7"/>
    <w:rsid w:val="003A02CB"/>
    <w:rsid w:val="004132B7"/>
    <w:rsid w:val="00426EA3"/>
    <w:rsid w:val="00460CAA"/>
    <w:rsid w:val="004A105A"/>
    <w:rsid w:val="004B2C3C"/>
    <w:rsid w:val="004B7B7C"/>
    <w:rsid w:val="004E118E"/>
    <w:rsid w:val="004E4432"/>
    <w:rsid w:val="0059385E"/>
    <w:rsid w:val="00594890"/>
    <w:rsid w:val="005A4035"/>
    <w:rsid w:val="005E0C5A"/>
    <w:rsid w:val="0063261B"/>
    <w:rsid w:val="00642AAC"/>
    <w:rsid w:val="006749ED"/>
    <w:rsid w:val="006E46E8"/>
    <w:rsid w:val="006F7826"/>
    <w:rsid w:val="007360A8"/>
    <w:rsid w:val="0074319F"/>
    <w:rsid w:val="007727CF"/>
    <w:rsid w:val="0077364B"/>
    <w:rsid w:val="007844AC"/>
    <w:rsid w:val="007B3DFD"/>
    <w:rsid w:val="00823ED9"/>
    <w:rsid w:val="0082603F"/>
    <w:rsid w:val="00847366"/>
    <w:rsid w:val="008B4B52"/>
    <w:rsid w:val="008B61E9"/>
    <w:rsid w:val="008E265E"/>
    <w:rsid w:val="008E65FF"/>
    <w:rsid w:val="00900876"/>
    <w:rsid w:val="00960598"/>
    <w:rsid w:val="00987918"/>
    <w:rsid w:val="009926FD"/>
    <w:rsid w:val="00993A2A"/>
    <w:rsid w:val="00995536"/>
    <w:rsid w:val="009976F0"/>
    <w:rsid w:val="009A2328"/>
    <w:rsid w:val="009B4D35"/>
    <w:rsid w:val="009C0354"/>
    <w:rsid w:val="009C4663"/>
    <w:rsid w:val="009D2265"/>
    <w:rsid w:val="009D22AD"/>
    <w:rsid w:val="009E2FC1"/>
    <w:rsid w:val="009E4857"/>
    <w:rsid w:val="009E5A01"/>
    <w:rsid w:val="00A25582"/>
    <w:rsid w:val="00A3610E"/>
    <w:rsid w:val="00A81DD3"/>
    <w:rsid w:val="00AB446F"/>
    <w:rsid w:val="00AC2867"/>
    <w:rsid w:val="00AE3911"/>
    <w:rsid w:val="00AF05F5"/>
    <w:rsid w:val="00B355D7"/>
    <w:rsid w:val="00B47436"/>
    <w:rsid w:val="00B66ACA"/>
    <w:rsid w:val="00B77E55"/>
    <w:rsid w:val="00B83CF1"/>
    <w:rsid w:val="00B8486B"/>
    <w:rsid w:val="00BB7B27"/>
    <w:rsid w:val="00BC7B02"/>
    <w:rsid w:val="00BE2DD3"/>
    <w:rsid w:val="00BE7628"/>
    <w:rsid w:val="00BF4531"/>
    <w:rsid w:val="00C005A2"/>
    <w:rsid w:val="00C21F9B"/>
    <w:rsid w:val="00C25506"/>
    <w:rsid w:val="00C45E95"/>
    <w:rsid w:val="00C62AEC"/>
    <w:rsid w:val="00C848A7"/>
    <w:rsid w:val="00C93342"/>
    <w:rsid w:val="00C93968"/>
    <w:rsid w:val="00CE2C3B"/>
    <w:rsid w:val="00CE2C62"/>
    <w:rsid w:val="00D31958"/>
    <w:rsid w:val="00D54AC2"/>
    <w:rsid w:val="00D72B5B"/>
    <w:rsid w:val="00D76696"/>
    <w:rsid w:val="00D8279A"/>
    <w:rsid w:val="00D9455D"/>
    <w:rsid w:val="00D95DB3"/>
    <w:rsid w:val="00DA0EAB"/>
    <w:rsid w:val="00DB0B10"/>
    <w:rsid w:val="00DB2383"/>
    <w:rsid w:val="00DB6125"/>
    <w:rsid w:val="00DC5C6C"/>
    <w:rsid w:val="00DD0559"/>
    <w:rsid w:val="00DE731E"/>
    <w:rsid w:val="00DF7A6E"/>
    <w:rsid w:val="00E12C19"/>
    <w:rsid w:val="00E27C71"/>
    <w:rsid w:val="00E7322A"/>
    <w:rsid w:val="00E7771C"/>
    <w:rsid w:val="00E809D6"/>
    <w:rsid w:val="00E810AB"/>
    <w:rsid w:val="00E83E8F"/>
    <w:rsid w:val="00E93E78"/>
    <w:rsid w:val="00ED31B1"/>
    <w:rsid w:val="00EF3992"/>
    <w:rsid w:val="00F0499D"/>
    <w:rsid w:val="00F24BBD"/>
    <w:rsid w:val="00F46351"/>
    <w:rsid w:val="00F51A88"/>
    <w:rsid w:val="00FD248F"/>
    <w:rsid w:val="00FE6ED7"/>
    <w:rsid w:val="00FE76A8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1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74955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7431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19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19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D3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Vlčková Lenka</cp:lastModifiedBy>
  <cp:revision>2</cp:revision>
  <dcterms:created xsi:type="dcterms:W3CDTF">2025-08-15T11:28:00Z</dcterms:created>
  <dcterms:modified xsi:type="dcterms:W3CDTF">2025-08-15T11:28:00Z</dcterms:modified>
</cp:coreProperties>
</file>