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035D" w14:textId="77777777" w:rsidR="0005193C" w:rsidRDefault="0005193C" w:rsidP="0005193C">
      <w:pPr>
        <w:pStyle w:val="Bezmezer"/>
        <w:rPr>
          <w:rFonts w:ascii="Arial" w:hAnsi="Arial"/>
          <w:b/>
          <w:bCs/>
          <w:sz w:val="20"/>
          <w:szCs w:val="20"/>
          <w:shd w:val="clear" w:color="auto" w:fill="FFFFFF"/>
        </w:rPr>
      </w:pPr>
    </w:p>
    <w:p w14:paraId="6D56F1C8" w14:textId="72183A5F" w:rsidR="0005193C" w:rsidRDefault="0005193C" w:rsidP="0005193C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B5695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Příloha č. </w:t>
      </w:r>
      <w:r w:rsidR="0075422F">
        <w:rPr>
          <w:rFonts w:ascii="Arial" w:hAnsi="Arial"/>
          <w:b/>
          <w:bCs/>
          <w:sz w:val="20"/>
          <w:szCs w:val="20"/>
          <w:shd w:val="clear" w:color="auto" w:fill="FFFFFF"/>
        </w:rPr>
        <w:t>3</w:t>
      </w:r>
      <w:r w:rsidR="00D67920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- 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>Specifikace požadavků na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činnosti poskytovatele v souvislosti se zpracováním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klinick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>é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studi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>e</w:t>
      </w:r>
      <w:r w:rsid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6036C1">
        <w:rPr>
          <w:rFonts w:ascii="Arial" w:hAnsi="Arial"/>
          <w:b/>
          <w:bCs/>
          <w:sz w:val="20"/>
          <w:szCs w:val="20"/>
          <w:shd w:val="clear" w:color="auto" w:fill="FFFFFF"/>
        </w:rPr>
        <w:t>–</w:t>
      </w:r>
      <w:r w:rsidRPr="00CB5695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6036C1">
        <w:rPr>
          <w:rFonts w:ascii="Arial" w:hAnsi="Arial"/>
          <w:b/>
          <w:bCs/>
          <w:sz w:val="20"/>
          <w:szCs w:val="20"/>
          <w:shd w:val="clear" w:color="auto" w:fill="FFFFFF"/>
        </w:rPr>
        <w:t>„</w:t>
      </w:r>
      <w:r w:rsidR="00C8168D" w:rsidRPr="00C8168D">
        <w:rPr>
          <w:rFonts w:ascii="Arial" w:hAnsi="Arial" w:cs="Arial"/>
          <w:sz w:val="20"/>
          <w:szCs w:val="20"/>
          <w:u w:val="single"/>
        </w:rPr>
        <w:t>Objektivizace účinku komplexní lázeňské léčebně rehabilitační péče na léčbu ženské neplodnosti“</w:t>
      </w:r>
    </w:p>
    <w:p w14:paraId="3B866E2F" w14:textId="77777777" w:rsidR="0005193C" w:rsidRDefault="0005193C" w:rsidP="0005193C">
      <w:pPr>
        <w:pStyle w:val="Bezmezer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456B7" wp14:editId="404FA91C">
                <wp:simplePos x="0" y="0"/>
                <wp:positionH relativeFrom="column">
                  <wp:posOffset>-15875</wp:posOffset>
                </wp:positionH>
                <wp:positionV relativeFrom="paragraph">
                  <wp:posOffset>76200</wp:posOffset>
                </wp:positionV>
                <wp:extent cx="5829300" cy="15240"/>
                <wp:effectExtent l="0" t="0" r="1905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0D229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6pt" to="457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2F3DC389" w14:textId="77777777" w:rsidR="0005193C" w:rsidRDefault="0005193C" w:rsidP="0005193C">
      <w:pPr>
        <w:spacing w:line="240" w:lineRule="exact"/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6F833D07" w14:textId="33218C4C" w:rsidR="0005193C" w:rsidRDefault="0005193C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Zadavatel určuje účastníkům speciální </w:t>
      </w:r>
      <w:r w:rsidR="00711752">
        <w:rPr>
          <w:rFonts w:ascii="Arial" w:hAnsi="Arial"/>
          <w:sz w:val="20"/>
          <w:szCs w:val="20"/>
        </w:rPr>
        <w:t>požadavky</w:t>
      </w:r>
      <w:r>
        <w:rPr>
          <w:rFonts w:ascii="Arial" w:hAnsi="Arial"/>
          <w:sz w:val="20"/>
          <w:szCs w:val="20"/>
        </w:rPr>
        <w:t xml:space="preserve"> pro předmět plnění zakázky, kterými vymezuje </w:t>
      </w:r>
      <w:r w:rsidR="00711752">
        <w:rPr>
          <w:rFonts w:ascii="Arial" w:hAnsi="Arial"/>
          <w:sz w:val="20"/>
          <w:szCs w:val="20"/>
        </w:rPr>
        <w:t>požadovanou službu – klinickou studii</w:t>
      </w:r>
      <w:r>
        <w:rPr>
          <w:rFonts w:ascii="Arial" w:hAnsi="Arial"/>
          <w:sz w:val="20"/>
          <w:szCs w:val="20"/>
        </w:rPr>
        <w:t xml:space="preserve">. </w:t>
      </w:r>
      <w:r w:rsidR="00711752">
        <w:rPr>
          <w:rFonts w:ascii="Arial" w:hAnsi="Arial"/>
          <w:sz w:val="20"/>
          <w:szCs w:val="20"/>
        </w:rPr>
        <w:t>Poskytovaná kli</w:t>
      </w:r>
      <w:r w:rsidR="00CE60CB">
        <w:rPr>
          <w:rFonts w:ascii="Arial" w:hAnsi="Arial"/>
          <w:sz w:val="20"/>
          <w:szCs w:val="20"/>
        </w:rPr>
        <w:t>nická studie</w:t>
      </w:r>
      <w:r>
        <w:rPr>
          <w:rFonts w:ascii="Arial" w:hAnsi="Arial"/>
          <w:sz w:val="20"/>
          <w:szCs w:val="20"/>
        </w:rPr>
        <w:t xml:space="preserve"> musí splňovat všechny níže uveden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požadavky.</w:t>
      </w:r>
    </w:p>
    <w:p w14:paraId="1D9EDD71" w14:textId="77777777" w:rsidR="003C59B4" w:rsidRPr="008A6EE7" w:rsidRDefault="003C59B4" w:rsidP="003C59B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17EFE">
        <w:rPr>
          <w:rFonts w:ascii="Arial" w:hAnsi="Arial"/>
          <w:sz w:val="20"/>
          <w:szCs w:val="20"/>
        </w:rPr>
        <w:t>Pro účely této zadávací dokumentace se pojmem „klinická studie“ rozumí pouze sběr dat a údajů o pacientech, bez jejich vyhodnocování. Shromážděná data budou ve stanovených intervalech (každé dva měsíce) předávána Institutu lázeňství a balneologie (ILaB), který na jejich základě zpracuje výslednou klinickou studii.</w:t>
      </w:r>
    </w:p>
    <w:p w14:paraId="7CAA44AF" w14:textId="77777777" w:rsidR="000C2F9A" w:rsidRDefault="000C2F9A" w:rsidP="000C2F9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EC2949" w14:textId="272D7177" w:rsidR="007D7FF7" w:rsidRDefault="00E1155F" w:rsidP="000C2F9A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Tato příloha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specifikace je pro </w:t>
      </w:r>
      <w:r w:rsidR="00525E40">
        <w:rPr>
          <w:rFonts w:ascii="Arial" w:eastAsia="Calibri" w:hAnsi="Arial" w:cs="Arial"/>
          <w:sz w:val="20"/>
          <w:szCs w:val="20"/>
        </w:rPr>
        <w:t>účastníka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závazn</w:t>
      </w:r>
      <w:r w:rsidR="00525E40">
        <w:rPr>
          <w:rFonts w:ascii="Arial" w:eastAsia="Calibri" w:hAnsi="Arial" w:cs="Arial"/>
          <w:sz w:val="20"/>
          <w:szCs w:val="20"/>
        </w:rPr>
        <w:t>á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a bude přílohou smlouvy </w:t>
      </w:r>
      <w:r w:rsidR="00D74C25">
        <w:rPr>
          <w:rFonts w:ascii="Arial" w:eastAsia="Calibri" w:hAnsi="Arial" w:cs="Arial"/>
          <w:sz w:val="20"/>
          <w:szCs w:val="20"/>
        </w:rPr>
        <w:t xml:space="preserve">na </w:t>
      </w:r>
      <w:r w:rsidR="001C26B3" w:rsidRPr="001C26B3">
        <w:rPr>
          <w:rFonts w:ascii="Arial" w:eastAsia="Calibri" w:hAnsi="Arial" w:cs="Arial"/>
          <w:sz w:val="20"/>
          <w:szCs w:val="20"/>
        </w:rPr>
        <w:t>provedení klinické studie</w:t>
      </w:r>
      <w:r w:rsidR="007D7FF7" w:rsidRPr="003F5E31">
        <w:rPr>
          <w:rFonts w:ascii="Arial" w:eastAsia="Calibri" w:hAnsi="Arial" w:cs="Arial"/>
          <w:sz w:val="20"/>
          <w:szCs w:val="20"/>
        </w:rPr>
        <w:t>.</w:t>
      </w:r>
    </w:p>
    <w:p w14:paraId="1A905664" w14:textId="77777777" w:rsidR="000C2F9A" w:rsidRPr="003F5E31" w:rsidRDefault="000C2F9A" w:rsidP="000C2F9A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8997EE" w14:textId="5D7327CA" w:rsidR="001C26B3" w:rsidRPr="007721E6" w:rsidRDefault="006D018D" w:rsidP="000C2F9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Specifika a m</w:t>
      </w:r>
      <w:r w:rsidR="001C26B3" w:rsidRPr="002473E2">
        <w:rPr>
          <w:rFonts w:ascii="Arial" w:hAnsi="Arial"/>
          <w:b/>
          <w:bCs/>
          <w:sz w:val="20"/>
          <w:szCs w:val="20"/>
          <w:u w:val="single"/>
        </w:rPr>
        <w:t>inimálně požadované</w:t>
      </w:r>
      <w:r w:rsidR="001C26B3" w:rsidRPr="002473E2"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 </w:t>
      </w:r>
      <w:r w:rsidR="001C26B3" w:rsidRPr="002473E2">
        <w:rPr>
          <w:rFonts w:ascii="Arial" w:hAnsi="Arial"/>
          <w:b/>
          <w:bCs/>
          <w:sz w:val="20"/>
          <w:szCs w:val="20"/>
          <w:u w:val="single"/>
        </w:rPr>
        <w:t xml:space="preserve">parametry 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klinické studie </w:t>
      </w:r>
      <w:r w:rsidR="001C26B3" w:rsidRPr="002473E2">
        <w:rPr>
          <w:rFonts w:ascii="Arial" w:hAnsi="Arial"/>
          <w:b/>
          <w:bCs/>
          <w:sz w:val="20"/>
          <w:szCs w:val="20"/>
          <w:u w:val="single"/>
        </w:rPr>
        <w:t>jsou následující</w:t>
      </w:r>
      <w:r w:rsidR="001C26B3" w:rsidRPr="007721E6">
        <w:rPr>
          <w:rFonts w:ascii="Arial" w:hAnsi="Arial"/>
          <w:b/>
          <w:bCs/>
          <w:sz w:val="20"/>
          <w:szCs w:val="20"/>
        </w:rPr>
        <w:t>:</w:t>
      </w:r>
    </w:p>
    <w:p w14:paraId="6F6650F4" w14:textId="77777777" w:rsidR="00E1155F" w:rsidRPr="00F942AD" w:rsidRDefault="00E1155F" w:rsidP="000C2F9A">
      <w:pPr>
        <w:pStyle w:val="Bnodstavec"/>
        <w:spacing w:before="0" w:after="0"/>
      </w:pPr>
      <w:r w:rsidRPr="00F942AD">
        <w:t xml:space="preserve">Zakázka zahrnuje zajištění </w:t>
      </w:r>
      <w:r w:rsidRPr="00F942AD">
        <w:rPr>
          <w:b/>
          <w:bCs/>
        </w:rPr>
        <w:t>komplexní lázeňské péče u pacientek pro indikaci XI/1</w:t>
      </w:r>
      <w:r w:rsidRPr="00F942AD">
        <w:t xml:space="preserve"> s důrazem na tradiční františkolázeňské gynekologické lázeňské léčebné procedury.</w:t>
      </w:r>
    </w:p>
    <w:p w14:paraId="433C9BAC" w14:textId="77777777" w:rsidR="00E1155F" w:rsidRPr="00F942AD" w:rsidRDefault="00E1155F" w:rsidP="000C2F9A">
      <w:pPr>
        <w:pStyle w:val="Bnodstavec"/>
        <w:spacing w:before="0" w:after="0"/>
      </w:pPr>
    </w:p>
    <w:p w14:paraId="072CF938" w14:textId="0D5EDC08" w:rsidR="00E1155F" w:rsidRPr="00F942AD" w:rsidRDefault="00E1155F" w:rsidP="000C2F9A">
      <w:pPr>
        <w:pStyle w:val="Bnodstavec"/>
        <w:spacing w:before="0" w:after="0"/>
      </w:pPr>
      <w:r w:rsidRPr="00F942AD">
        <w:t xml:space="preserve">Předmětem zakázky je realizace výzkumné studie. Součástí zakázky je zařazení pacientek </w:t>
      </w:r>
      <w:r w:rsidRPr="00F942AD">
        <w:rPr>
          <w:b/>
          <w:bCs/>
        </w:rPr>
        <w:t>s indikací XI/1</w:t>
      </w:r>
      <w:r w:rsidRPr="00F942AD">
        <w:t xml:space="preserve"> do studie, a to v souladu s kritérii pro zařazení/vyloučení pacientek do/ze studie, </w:t>
      </w:r>
      <w:r w:rsidRPr="00F942AD">
        <w:rPr>
          <w:u w:val="single"/>
        </w:rPr>
        <w:t>zajištění informovaného souhlasu</w:t>
      </w:r>
      <w:r w:rsidRPr="00F942AD">
        <w:t>,</w:t>
      </w:r>
      <w:r w:rsidR="008B348C">
        <w:t xml:space="preserve"> edukace pacientek o průběhu studie, </w:t>
      </w:r>
      <w:r w:rsidRPr="00F942AD">
        <w:t>provedení odběru krve/moči na začátku a na konci lázeňského pobytu, provedení veškerých uvedených vyšetření (viz níže v dokumentu), nákup požadovaného materiálu, předání dat v </w:t>
      </w:r>
      <w:proofErr w:type="spellStart"/>
      <w:r w:rsidRPr="00F942AD">
        <w:t>pseudonymizované</w:t>
      </w:r>
      <w:proofErr w:type="spellEnd"/>
      <w:r w:rsidRPr="00F942AD">
        <w:t xml:space="preserve"> podobě</w:t>
      </w:r>
      <w:r w:rsidR="000251DD">
        <w:t xml:space="preserve"> a provedení dotazníkového šetření</w:t>
      </w:r>
      <w:r w:rsidRPr="00F942AD">
        <w:t xml:space="preserve">. Součástí zakázky </w:t>
      </w:r>
      <w:r w:rsidRPr="00F942AD">
        <w:rPr>
          <w:b/>
          <w:bCs/>
        </w:rPr>
        <w:t>není laboratorní diagnostika</w:t>
      </w:r>
      <w:r w:rsidRPr="00F942AD">
        <w:t xml:space="preserve">, </w:t>
      </w:r>
      <w:r w:rsidRPr="00F942AD">
        <w:rPr>
          <w:b/>
          <w:bCs/>
        </w:rPr>
        <w:t>uchovávání nebo transport vzorků</w:t>
      </w:r>
      <w:r w:rsidRPr="00F942AD">
        <w:t xml:space="preserve">. Tyto úkony budou provedeny laboratoří, jejíž výběr bude realizován formou samostatného zadávacího řízení. Lázeňské zařízení bude o výsledku tohoto řízení </w:t>
      </w:r>
      <w:proofErr w:type="spellStart"/>
      <w:r w:rsidRPr="00F942AD">
        <w:t>ILaBem</w:t>
      </w:r>
      <w:proofErr w:type="spellEnd"/>
      <w:r w:rsidRPr="00F942AD">
        <w:t xml:space="preserve"> informováno. </w:t>
      </w:r>
    </w:p>
    <w:p w14:paraId="636183C0" w14:textId="77777777" w:rsidR="00E1155F" w:rsidRPr="00F942AD" w:rsidRDefault="00E1155F" w:rsidP="000C2F9A">
      <w:pPr>
        <w:pStyle w:val="Bnodstavec"/>
        <w:spacing w:before="0" w:after="0"/>
      </w:pPr>
    </w:p>
    <w:p w14:paraId="2F08559C" w14:textId="77777777" w:rsidR="00E1155F" w:rsidRPr="00F942AD" w:rsidRDefault="00E1155F" w:rsidP="000C2F9A">
      <w:pPr>
        <w:pStyle w:val="Bnodstavec"/>
        <w:spacing w:before="0" w:after="0"/>
      </w:pPr>
      <w:r w:rsidRPr="00F942AD">
        <w:t xml:space="preserve">Vybrané lázeňské zařízení musí následně </w:t>
      </w:r>
      <w:r w:rsidRPr="00F942AD">
        <w:rPr>
          <w:b/>
          <w:bCs/>
        </w:rPr>
        <w:t>s vybranou biochemickou laboratoří úzce spolupracovat</w:t>
      </w:r>
      <w:r w:rsidRPr="00F942AD">
        <w:t xml:space="preserve"> na zajištění včasného vyzvednutí a řádného odvozu odebraných vzorků všech pacientek a dále na předání jedinečných „ID kódů“ pacientek, pod nimiž budou data předávána </w:t>
      </w:r>
      <w:proofErr w:type="spellStart"/>
      <w:r w:rsidRPr="00F942AD">
        <w:t>ILaBu</w:t>
      </w:r>
      <w:proofErr w:type="spellEnd"/>
      <w:r w:rsidRPr="00F942AD">
        <w:t xml:space="preserve">. </w:t>
      </w:r>
    </w:p>
    <w:p w14:paraId="6DC91AFC" w14:textId="77777777" w:rsidR="00E1155F" w:rsidRPr="00F942AD" w:rsidRDefault="00E1155F" w:rsidP="000C2F9A">
      <w:pPr>
        <w:pStyle w:val="Bnodstavec"/>
        <w:spacing w:before="0" w:after="0"/>
      </w:pPr>
    </w:p>
    <w:p w14:paraId="571D232A" w14:textId="77777777" w:rsidR="00E1155F" w:rsidRPr="00F942AD" w:rsidRDefault="00E1155F" w:rsidP="000C2F9A">
      <w:pPr>
        <w:pStyle w:val="Bnodstavec"/>
        <w:spacing w:before="0" w:after="0"/>
      </w:pPr>
      <w:r w:rsidRPr="00F942AD">
        <w:rPr>
          <w:b/>
          <w:bCs/>
        </w:rPr>
        <w:t xml:space="preserve">Odběr </w:t>
      </w:r>
      <w:r w:rsidRPr="00F942AD">
        <w:t>bude probíhat vždy v ranních/dopoledních hodinách dle požadovaných parametrů odběru (lačnění pacientky atd. – požadavky dodá laboratoř</w:t>
      </w:r>
      <w:r w:rsidRPr="00F942AD">
        <w:rPr>
          <w:b/>
          <w:bCs/>
        </w:rPr>
        <w:t>, přípravu pacientky i odběr samotný zajistí lázeňské zařízení</w:t>
      </w:r>
      <w:r w:rsidRPr="00F942AD">
        <w:t>) a to na začátku a konci KLP, laboratoř následně zajistí vyzvednutí, odvoz a laboratorní diagnostiku, výsledky laboratorní diagnostiky dodá lázeňskému zařízení nejpozději do pátého pracovního dne, u specifických hormonů (např. dopamin) do desátého pracovního dne.</w:t>
      </w:r>
    </w:p>
    <w:p w14:paraId="13DAF893" w14:textId="77777777" w:rsidR="00E1155F" w:rsidRPr="00F942AD" w:rsidRDefault="00E1155F" w:rsidP="000C2F9A">
      <w:pPr>
        <w:pStyle w:val="Bnodstavec"/>
        <w:spacing w:before="0" w:after="0"/>
      </w:pPr>
    </w:p>
    <w:p w14:paraId="527ECB9C" w14:textId="47D4AE9C" w:rsidR="00E1155F" w:rsidRPr="00F942AD" w:rsidRDefault="00E1155F" w:rsidP="000C2F9A">
      <w:pPr>
        <w:pStyle w:val="Bnodstavec"/>
        <w:spacing w:before="0" w:after="0"/>
      </w:pPr>
      <w:r w:rsidRPr="00F942AD">
        <w:rPr>
          <w:b/>
          <w:bCs/>
        </w:rPr>
        <w:t>Odběry</w:t>
      </w:r>
      <w:r w:rsidRPr="00F942AD">
        <w:t xml:space="preserve"> budou u všech pacientek provedeny vždy </w:t>
      </w:r>
      <w:r w:rsidRPr="00F942AD">
        <w:rPr>
          <w:b/>
          <w:bCs/>
        </w:rPr>
        <w:t>na začátku KLP</w:t>
      </w:r>
      <w:r w:rsidRPr="00F942AD">
        <w:t xml:space="preserve"> (tj. nejpozději 3. den od nástupu na KLP) a následně </w:t>
      </w:r>
      <w:r w:rsidRPr="00F942AD">
        <w:rPr>
          <w:b/>
          <w:bCs/>
        </w:rPr>
        <w:t>na konci KLP</w:t>
      </w:r>
      <w:r w:rsidRPr="00F942AD">
        <w:t xml:space="preserve"> (tj. 20.</w:t>
      </w:r>
      <w:r w:rsidR="00EA5A16">
        <w:t>,</w:t>
      </w:r>
      <w:r w:rsidRPr="00F942AD">
        <w:t xml:space="preserve"> nebo 21. den, ve výjimečných případech lze odběr realizovat </w:t>
      </w:r>
      <w:r w:rsidRPr="00F942AD">
        <w:lastRenderedPageBreak/>
        <w:t>19. den KLP). Zde je nutná spolupráce s laboratoří, aby odběry proběhly dle plánovaného harmonogramu + byly zajištěny nutné podmínky pro odběr (viz výše).</w:t>
      </w:r>
    </w:p>
    <w:p w14:paraId="6555FFF4" w14:textId="77777777" w:rsidR="00E1155F" w:rsidRPr="00F942AD" w:rsidRDefault="00E1155F" w:rsidP="000C2F9A">
      <w:pPr>
        <w:pStyle w:val="Bnodstavec"/>
        <w:spacing w:before="0" w:after="0"/>
      </w:pPr>
    </w:p>
    <w:p w14:paraId="2F491D24" w14:textId="69DBE21B" w:rsidR="00E1155F" w:rsidRDefault="00E1155F" w:rsidP="000C2F9A">
      <w:pPr>
        <w:pStyle w:val="Bnodstavec"/>
        <w:spacing w:before="0" w:after="0"/>
      </w:pPr>
      <w:r w:rsidRPr="00F942AD">
        <w:rPr>
          <w:b/>
          <w:bCs/>
        </w:rPr>
        <w:t>Fyzikální vyšetření</w:t>
      </w:r>
      <w:r w:rsidRPr="00F942AD">
        <w:t xml:space="preserve"> pacientek budou provedena vždy </w:t>
      </w:r>
      <w:r w:rsidRPr="00F942AD">
        <w:rPr>
          <w:b/>
          <w:bCs/>
        </w:rPr>
        <w:t>na začátku KLP</w:t>
      </w:r>
      <w:r w:rsidRPr="00F942AD">
        <w:t xml:space="preserve"> (tj. nejpozději 3. den od nástupu na KLP) a následně </w:t>
      </w:r>
      <w:r w:rsidRPr="00F942AD">
        <w:rPr>
          <w:b/>
          <w:bCs/>
        </w:rPr>
        <w:t>na konci KLP</w:t>
      </w:r>
      <w:r w:rsidRPr="00F942AD">
        <w:t xml:space="preserve"> (tj. 20. nebo 21. den, ve výjimečných případech lze vyšetření realizovat 19. den KLP). </w:t>
      </w:r>
    </w:p>
    <w:p w14:paraId="0F94AF0A" w14:textId="54BF0BDE" w:rsidR="00946787" w:rsidRDefault="00946787" w:rsidP="000C2F9A">
      <w:pPr>
        <w:pStyle w:val="Bnodstavec"/>
        <w:spacing w:before="0" w:after="0"/>
      </w:pPr>
      <w:r w:rsidRPr="00946787">
        <w:rPr>
          <w:b/>
          <w:bCs/>
        </w:rPr>
        <w:t>Dotazníkové šetření</w:t>
      </w:r>
      <w:r>
        <w:t xml:space="preserve"> proběhne </w:t>
      </w:r>
      <w:r w:rsidRPr="00946787">
        <w:rPr>
          <w:b/>
          <w:bCs/>
        </w:rPr>
        <w:t>na začátku KLP</w:t>
      </w:r>
      <w:r>
        <w:t xml:space="preserve"> (tj. nejpozději 3. den od nástupu na KLP) a následně </w:t>
      </w:r>
      <w:r w:rsidRPr="00946787">
        <w:rPr>
          <w:b/>
          <w:bCs/>
        </w:rPr>
        <w:t>na konci KLP</w:t>
      </w:r>
      <w:r>
        <w:t xml:space="preserve"> (tj. 20. nebo 21. den, lze realizovat i 19. den KLP). </w:t>
      </w:r>
      <w:r w:rsidRPr="00946787">
        <w:rPr>
          <w:b/>
          <w:bCs/>
        </w:rPr>
        <w:t>Po ukončení KLP</w:t>
      </w:r>
      <w:r w:rsidRPr="00946787">
        <w:t xml:space="preserve"> budou účastnice studie </w:t>
      </w:r>
      <w:r w:rsidRPr="00946787">
        <w:rPr>
          <w:b/>
          <w:bCs/>
        </w:rPr>
        <w:t>opakovaně kontaktovány lázeňským zařízením – a to 6 a 12 měsíců po jejím absolvování</w:t>
      </w:r>
      <w:r w:rsidRPr="00946787">
        <w:t xml:space="preserve"> – za účelem zjištění, zda došlo k otěhotnění, jakým způsobem (spontánně, či za pomoci metod asistované reprodukce) a zda, kdy a jakým způsobem proběhl porod.</w:t>
      </w:r>
    </w:p>
    <w:p w14:paraId="1F925DA4" w14:textId="77777777" w:rsidR="00946787" w:rsidRPr="00F942AD" w:rsidRDefault="00946787" w:rsidP="000C2F9A">
      <w:pPr>
        <w:pStyle w:val="Bnodstavec"/>
        <w:spacing w:before="0" w:after="0"/>
      </w:pPr>
    </w:p>
    <w:p w14:paraId="62656498" w14:textId="77777777" w:rsidR="00E1155F" w:rsidRPr="003B375D" w:rsidRDefault="00E1155F" w:rsidP="003B375D">
      <w:pPr>
        <w:pStyle w:val="Bnodstavec"/>
        <w:numPr>
          <w:ilvl w:val="0"/>
          <w:numId w:val="9"/>
        </w:numPr>
        <w:spacing w:before="0" w:after="0"/>
        <w:rPr>
          <w:b/>
          <w:bCs/>
          <w:u w:val="single"/>
        </w:rPr>
      </w:pPr>
      <w:r w:rsidRPr="003B375D">
        <w:rPr>
          <w:b/>
          <w:bCs/>
          <w:u w:val="single"/>
        </w:rPr>
        <w:t>Design studie a výběr pacientů</w:t>
      </w:r>
    </w:p>
    <w:p w14:paraId="66D11161" w14:textId="77777777" w:rsidR="00E1155F" w:rsidRPr="00F942AD" w:rsidRDefault="00E1155F" w:rsidP="00E1155F">
      <w:pPr>
        <w:pStyle w:val="Bnodstavec"/>
        <w:spacing w:before="0" w:after="0"/>
      </w:pPr>
      <w:r w:rsidRPr="00F942AD">
        <w:rPr>
          <w:b/>
          <w:bCs/>
        </w:rPr>
        <w:t>Typ studie:</w:t>
      </w:r>
      <w:r w:rsidRPr="00F942AD">
        <w:t xml:space="preserve"> Explorativní studie vlivu KLP na parametry ženské fertility.</w:t>
      </w:r>
    </w:p>
    <w:p w14:paraId="7D94A13C" w14:textId="0AA865EF" w:rsidR="00E1155F" w:rsidRPr="00F942AD" w:rsidRDefault="00E1155F" w:rsidP="00E1155F">
      <w:pPr>
        <w:pStyle w:val="Bnodstavec"/>
        <w:spacing w:before="0" w:after="0"/>
      </w:pPr>
      <w:r w:rsidRPr="00F942AD">
        <w:rPr>
          <w:b/>
          <w:bCs/>
        </w:rPr>
        <w:t>Počet účastnic</w:t>
      </w:r>
      <w:r w:rsidRPr="00F942AD">
        <w:t xml:space="preserve">: 55 žen </w:t>
      </w:r>
      <w:r w:rsidR="00D57DDE">
        <w:t>absolvujících</w:t>
      </w:r>
      <w:r w:rsidR="00D57DDE" w:rsidRPr="00D57DDE">
        <w:rPr>
          <w:b/>
          <w:bCs/>
        </w:rPr>
        <w:t xml:space="preserve"> kompletní</w:t>
      </w:r>
      <w:r w:rsidR="00D57DDE">
        <w:t xml:space="preserve"> KLP (tj. minimálně 21 dní dle indikace XI/1)</w:t>
      </w:r>
    </w:p>
    <w:p w14:paraId="49FA6352" w14:textId="77777777" w:rsidR="00E1155F" w:rsidRPr="00F942AD" w:rsidRDefault="00E1155F" w:rsidP="00E1155F">
      <w:pPr>
        <w:pStyle w:val="Bnodstavec"/>
        <w:spacing w:before="0" w:after="0"/>
      </w:pPr>
      <w:r w:rsidRPr="00F942AD">
        <w:rPr>
          <w:b/>
          <w:bCs/>
        </w:rPr>
        <w:t>Délka léčby</w:t>
      </w:r>
      <w:r w:rsidRPr="00F942AD">
        <w:t>: 21denní komplexní lázeňská léčebně rehabilitační péče (s možností prodloužení na 28 dní).</w:t>
      </w:r>
    </w:p>
    <w:p w14:paraId="25C1299E" w14:textId="77777777" w:rsidR="00E1155F" w:rsidRPr="00F942AD" w:rsidRDefault="00E1155F" w:rsidP="00E1155F">
      <w:pPr>
        <w:pStyle w:val="Bnodstavec"/>
        <w:spacing w:before="0" w:after="0"/>
        <w:rPr>
          <w:b/>
          <w:bCs/>
        </w:rPr>
      </w:pPr>
      <w:r w:rsidRPr="00F942AD">
        <w:rPr>
          <w:b/>
          <w:bCs/>
        </w:rPr>
        <w:t xml:space="preserve">Populace: </w:t>
      </w:r>
      <w:r w:rsidRPr="00F942AD">
        <w:t xml:space="preserve">pacientky s indikací XI/1 – Sterilita a infertilita primární (3 a více spontánních potratů), sekundární sterilita na podkladě zánětlivém i funkčním, abortus </w:t>
      </w:r>
      <w:proofErr w:type="spellStart"/>
      <w:r w:rsidRPr="00F942AD">
        <w:t>habitualis</w:t>
      </w:r>
      <w:proofErr w:type="spellEnd"/>
      <w:r w:rsidRPr="00F942AD">
        <w:t>.</w:t>
      </w:r>
    </w:p>
    <w:p w14:paraId="7E664A4B" w14:textId="77777777" w:rsidR="00E1155F" w:rsidRPr="00F942AD" w:rsidRDefault="00E1155F" w:rsidP="00E1155F">
      <w:pPr>
        <w:pStyle w:val="Bnodstavec"/>
        <w:spacing w:before="0" w:after="0"/>
        <w:rPr>
          <w:b/>
          <w:bCs/>
        </w:rPr>
      </w:pPr>
      <w:r w:rsidRPr="00F942AD">
        <w:rPr>
          <w:b/>
          <w:bCs/>
        </w:rPr>
        <w:t xml:space="preserve">Kritéria zařazení: </w:t>
      </w:r>
      <w:r w:rsidRPr="00F942AD">
        <w:t>Žena ve věku 20-40 let.</w:t>
      </w:r>
    </w:p>
    <w:p w14:paraId="353D0C6B" w14:textId="77777777" w:rsidR="00E1155F" w:rsidRPr="00F942AD" w:rsidRDefault="00E1155F" w:rsidP="00E1155F">
      <w:pPr>
        <w:pStyle w:val="Bnodstavec"/>
        <w:spacing w:before="0" w:after="0"/>
        <w:rPr>
          <w:b/>
          <w:bCs/>
        </w:rPr>
      </w:pPr>
      <w:r w:rsidRPr="00F942AD">
        <w:rPr>
          <w:b/>
          <w:bCs/>
        </w:rPr>
        <w:t xml:space="preserve">Kritéria vyloučení: </w:t>
      </w:r>
      <w:r w:rsidRPr="00F942AD">
        <w:t>Kontraindikace v souladu s vyhláškou č. 2/2015 Sb., o stanovení odborných kritérií a dalších náležitostí pro poskytování lázeňské léčebně rehabilitační péče (těhotenství, nemoci v akutním stádiu atd.).</w:t>
      </w:r>
    </w:p>
    <w:p w14:paraId="02123161" w14:textId="77777777" w:rsidR="00E1155F" w:rsidRDefault="00E1155F" w:rsidP="00E1155F">
      <w:pPr>
        <w:pStyle w:val="Bnodstavec"/>
        <w:spacing w:before="0" w:after="0"/>
      </w:pPr>
      <w:r w:rsidRPr="00F942AD">
        <w:t xml:space="preserve">Akutní gynekologický zánět nebo nedoléčené formy zánětu s vysokým rizikem exacerbace, endometrióza, chronická apendicitis, stavy s opakovanými metrorrhagiemi, pacientka s příjmem alkoholu vyšším než 20 g ETOH/den, těžké komorbidity, které by mohly ovlivnit výsledky léčby, onkologické onemocnění, neochota dodržovat léčebný plán. </w:t>
      </w:r>
    </w:p>
    <w:p w14:paraId="5F5F8B0D" w14:textId="77777777" w:rsidR="00E1155F" w:rsidRDefault="00E1155F" w:rsidP="00CD7459">
      <w:pPr>
        <w:spacing w:after="120"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757859EE" w14:textId="77777777" w:rsidR="00B9798A" w:rsidRPr="00B81EA6" w:rsidRDefault="00B9798A" w:rsidP="00B9798A">
      <w:pPr>
        <w:pStyle w:val="Bnodstavec"/>
        <w:rPr>
          <w:b/>
          <w:bCs/>
        </w:rPr>
      </w:pPr>
      <w:r w:rsidRPr="00B81EA6">
        <w:rPr>
          <w:b/>
          <w:bCs/>
        </w:rPr>
        <w:t>Poskytovatel, zavazující se k realizaci klinické studie, musí ve svém zařízení disponovat následujícím, pro studii klíčovým, personálním obsazením, vybavením a nabízenými léčebnými procedurami:</w:t>
      </w:r>
    </w:p>
    <w:p w14:paraId="251EF76C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t>lékař specialista – gynekolog, fyzioterapeut</w:t>
      </w:r>
      <w:r>
        <w:t xml:space="preserve"> (Pozn.: oba současně)</w:t>
      </w:r>
      <w:r w:rsidRPr="00B81EA6">
        <w:t>,</w:t>
      </w:r>
    </w:p>
    <w:p w14:paraId="3006BCBB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t>přítomnost zdravotních sester v nepřetržitém režimu k zajištění všech vyšetřovacích a administrativních náležitostí,</w:t>
      </w:r>
    </w:p>
    <w:p w14:paraId="0D832B40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t>přístroj pro analýzu tělesného složení pomocí bioelektrické impedance (</w:t>
      </w:r>
      <w:proofErr w:type="spellStart"/>
      <w:r w:rsidRPr="00B81EA6">
        <w:t>InBody</w:t>
      </w:r>
      <w:proofErr w:type="spellEnd"/>
      <w:r w:rsidRPr="00B81EA6">
        <w:t>),</w:t>
      </w:r>
    </w:p>
    <w:p w14:paraId="7C1EFD81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t>tonometr, osobní váha,</w:t>
      </w:r>
    </w:p>
    <w:p w14:paraId="4BF0341A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lastRenderedPageBreak/>
        <w:t>tradiční gynekologické františkolázeňské procedury pro sledovanou indikaci XI/1, tzn. vaginální slatinné tampony včetně kalhotkového zábalu, vaginální irigace minerální vodou, sedací plynná uhličitá koupel, gynekologické cvičení – fyzioterapie,</w:t>
      </w:r>
    </w:p>
    <w:p w14:paraId="590B9532" w14:textId="77777777" w:rsidR="00B9798A" w:rsidRPr="00B81EA6" w:rsidRDefault="00B9798A" w:rsidP="00B9798A">
      <w:pPr>
        <w:pStyle w:val="Bnodstavec"/>
        <w:numPr>
          <w:ilvl w:val="0"/>
          <w:numId w:val="3"/>
        </w:numPr>
      </w:pPr>
      <w:r w:rsidRPr="00B81EA6">
        <w:t>odběrová místnost pro získávání vzorků krve a moči.</w:t>
      </w:r>
    </w:p>
    <w:p w14:paraId="2C679182" w14:textId="77777777" w:rsidR="00B9798A" w:rsidRPr="00B81EA6" w:rsidRDefault="00B9798A" w:rsidP="00B9798A">
      <w:pPr>
        <w:pStyle w:val="Bnodstavec"/>
      </w:pPr>
    </w:p>
    <w:p w14:paraId="1C45E2C0" w14:textId="312D2015" w:rsidR="00B9798A" w:rsidRPr="00B81EA6" w:rsidRDefault="00B9798A" w:rsidP="00B9798A">
      <w:pPr>
        <w:pStyle w:val="Bnodstavec"/>
        <w:rPr>
          <w:b/>
          <w:bCs/>
        </w:rPr>
      </w:pPr>
      <w:r w:rsidRPr="00B81EA6">
        <w:rPr>
          <w:b/>
          <w:bCs/>
        </w:rPr>
        <w:t>Povinné diagnostické výkony a vyšetření:</w:t>
      </w:r>
    </w:p>
    <w:p w14:paraId="40188DE8" w14:textId="571EAEC4" w:rsidR="00B9798A" w:rsidRPr="00A26DFF" w:rsidRDefault="00B9798A" w:rsidP="00B9798A">
      <w:pPr>
        <w:pStyle w:val="Bnodstavec"/>
        <w:numPr>
          <w:ilvl w:val="0"/>
          <w:numId w:val="4"/>
        </w:numPr>
        <w:rPr>
          <w:b/>
          <w:bCs/>
        </w:rPr>
      </w:pPr>
      <w:r w:rsidRPr="00B81EA6">
        <w:rPr>
          <w:b/>
          <w:bCs/>
        </w:rPr>
        <w:t xml:space="preserve">fyzikální </w:t>
      </w:r>
      <w:r w:rsidRPr="00A26DFF">
        <w:rPr>
          <w:b/>
          <w:bCs/>
        </w:rPr>
        <w:t xml:space="preserve">vyšetření </w:t>
      </w:r>
      <w:r w:rsidR="00D57DDE" w:rsidRPr="00AC073A">
        <w:rPr>
          <w:b/>
          <w:bCs/>
        </w:rPr>
        <w:t>(na začátku a konci KLP)</w:t>
      </w:r>
    </w:p>
    <w:p w14:paraId="0908D2EE" w14:textId="77777777" w:rsidR="00B9798A" w:rsidRPr="00D57DDE" w:rsidRDefault="00B9798A" w:rsidP="00B9798A">
      <w:pPr>
        <w:pStyle w:val="Bnodstavec"/>
        <w:numPr>
          <w:ilvl w:val="0"/>
          <w:numId w:val="4"/>
        </w:numPr>
        <w:rPr>
          <w:b/>
          <w:bCs/>
        </w:rPr>
      </w:pPr>
      <w:r w:rsidRPr="00B81EA6">
        <w:rPr>
          <w:b/>
          <w:bCs/>
        </w:rPr>
        <w:t xml:space="preserve">dotazníkové šetření </w:t>
      </w:r>
      <w:r w:rsidRPr="00B81EA6">
        <w:t>(na základě dodaného podkladu)</w:t>
      </w:r>
    </w:p>
    <w:p w14:paraId="38E2561F" w14:textId="5204D901" w:rsidR="00D57DDE" w:rsidRPr="00D57DDE" w:rsidRDefault="00D57DDE" w:rsidP="00D57DDE">
      <w:pPr>
        <w:pStyle w:val="Bnodstavec"/>
        <w:numPr>
          <w:ilvl w:val="1"/>
          <w:numId w:val="4"/>
        </w:numPr>
      </w:pPr>
      <w:r w:rsidRPr="00D57DDE">
        <w:t>před a po absolvování KLP</w:t>
      </w:r>
    </w:p>
    <w:p w14:paraId="3E582E7D" w14:textId="6F3DD302" w:rsidR="00D57DDE" w:rsidRPr="00D57DDE" w:rsidRDefault="00D57DDE" w:rsidP="00D57DDE">
      <w:pPr>
        <w:pStyle w:val="Bnodstavec"/>
        <w:numPr>
          <w:ilvl w:val="1"/>
          <w:numId w:val="4"/>
        </w:numPr>
      </w:pPr>
      <w:r w:rsidRPr="00D57DDE">
        <w:t>po 6 a 12 měsících od ukončení KLP</w:t>
      </w:r>
    </w:p>
    <w:p w14:paraId="3290992D" w14:textId="7D3A1B29" w:rsidR="00B9798A" w:rsidRPr="00A33C2E" w:rsidRDefault="00B9798A" w:rsidP="00B9798A">
      <w:pPr>
        <w:pStyle w:val="Bnodstavec"/>
        <w:numPr>
          <w:ilvl w:val="0"/>
          <w:numId w:val="4"/>
        </w:numPr>
        <w:rPr>
          <w:b/>
          <w:bCs/>
        </w:rPr>
      </w:pPr>
      <w:r w:rsidRPr="00B81EA6">
        <w:rPr>
          <w:b/>
          <w:bCs/>
        </w:rPr>
        <w:t xml:space="preserve">odběry krve, </w:t>
      </w:r>
      <w:r w:rsidRPr="00A33C2E">
        <w:rPr>
          <w:b/>
          <w:bCs/>
        </w:rPr>
        <w:t>moči</w:t>
      </w:r>
      <w:r w:rsidR="00D57DDE" w:rsidRPr="00A33C2E">
        <w:rPr>
          <w:b/>
          <w:bCs/>
        </w:rPr>
        <w:t xml:space="preserve"> (na začátku a konci KLP)</w:t>
      </w:r>
    </w:p>
    <w:p w14:paraId="70512D55" w14:textId="77777777" w:rsidR="00B9798A" w:rsidRPr="00B81EA6" w:rsidRDefault="00B9798A" w:rsidP="00B9798A">
      <w:pPr>
        <w:pStyle w:val="Bnodstavec"/>
        <w:numPr>
          <w:ilvl w:val="1"/>
          <w:numId w:val="4"/>
        </w:numPr>
      </w:pPr>
      <w:r w:rsidRPr="00B81EA6">
        <w:rPr>
          <w:b/>
          <w:bCs/>
          <w:u w:val="single"/>
        </w:rPr>
        <w:t>Celkové maximální předpokládané množství odebíraných tekutin</w:t>
      </w:r>
      <w:r w:rsidRPr="00B81EA6">
        <w:rPr>
          <w:b/>
          <w:bCs/>
        </w:rPr>
        <w:t>:</w:t>
      </w:r>
    </w:p>
    <w:p w14:paraId="75451BD9" w14:textId="77777777" w:rsidR="00B9798A" w:rsidRPr="00B81EA6" w:rsidRDefault="00B9798A" w:rsidP="00B9798A">
      <w:pPr>
        <w:pStyle w:val="Bnodstavec"/>
        <w:numPr>
          <w:ilvl w:val="0"/>
          <w:numId w:val="5"/>
        </w:numPr>
        <w:rPr>
          <w:i/>
          <w:iCs/>
        </w:rPr>
      </w:pPr>
      <w:r w:rsidRPr="00B81EA6">
        <w:rPr>
          <w:i/>
          <w:iCs/>
        </w:rPr>
        <w:t>ml krve, 2 zkumavky moči:</w:t>
      </w:r>
    </w:p>
    <w:p w14:paraId="774A4B57" w14:textId="77777777" w:rsidR="00B9798A" w:rsidRPr="00B81EA6" w:rsidRDefault="00B9798A" w:rsidP="00B9798A">
      <w:pPr>
        <w:pStyle w:val="Bnodstavec"/>
        <w:numPr>
          <w:ilvl w:val="0"/>
          <w:numId w:val="6"/>
        </w:numPr>
      </w:pPr>
      <w:r w:rsidRPr="00B81EA6">
        <w:rPr>
          <w:i/>
          <w:iCs/>
        </w:rPr>
        <w:t xml:space="preserve">ml krve, 1 zkumavka moči při vstupním odběru, </w:t>
      </w:r>
    </w:p>
    <w:p w14:paraId="78393E04" w14:textId="77777777" w:rsidR="00B9798A" w:rsidRPr="00B81EA6" w:rsidRDefault="00B9798A" w:rsidP="0087505D">
      <w:pPr>
        <w:pStyle w:val="Bnodstavec"/>
        <w:ind w:left="372" w:firstLine="708"/>
      </w:pPr>
      <w:r w:rsidRPr="00B81EA6">
        <w:rPr>
          <w:i/>
          <w:iCs/>
        </w:rPr>
        <w:t>10 ml krve, 1 zkumavka moči při odběru výstupním</w:t>
      </w:r>
      <w:r w:rsidRPr="00B81EA6">
        <w:t>.</w:t>
      </w:r>
    </w:p>
    <w:p w14:paraId="5B67DA17" w14:textId="77777777" w:rsidR="00B9798A" w:rsidRPr="00B81EA6" w:rsidRDefault="00B9798A" w:rsidP="00B9798A">
      <w:pPr>
        <w:pStyle w:val="Bnodstavec"/>
        <w:jc w:val="left"/>
      </w:pPr>
      <w:r w:rsidRPr="00B81EA6">
        <w:t>Celkem tedy bude uskutečněno:</w:t>
      </w:r>
      <w:r w:rsidRPr="00B81EA6">
        <w:br/>
        <w:t>minimálně 110 „standardních“ odběrů dle následujícího předpokladu: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4009"/>
        <w:gridCol w:w="3973"/>
      </w:tblGrid>
      <w:tr w:rsidR="00B9798A" w:rsidRPr="00B81EA6" w14:paraId="17F5E5B0" w14:textId="77777777" w:rsidTr="00A00F64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8C35" w14:textId="77777777" w:rsidR="00B9798A" w:rsidRPr="00B81EA6" w:rsidRDefault="00B9798A" w:rsidP="00A00F64">
            <w:pPr>
              <w:pStyle w:val="Bnodstavec"/>
              <w:rPr>
                <w:b/>
                <w:bCs/>
              </w:rPr>
            </w:pPr>
            <w:r w:rsidRPr="00B81EA6">
              <w:rPr>
                <w:b/>
                <w:bCs/>
              </w:rPr>
              <w:t xml:space="preserve">VSTUP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DA6" w14:textId="77777777" w:rsidR="00B9798A" w:rsidRPr="00B81EA6" w:rsidRDefault="00B9798A" w:rsidP="00A00F64">
            <w:pPr>
              <w:pStyle w:val="Bnodstavec"/>
              <w:rPr>
                <w:b/>
                <w:bCs/>
              </w:rPr>
            </w:pPr>
            <w:r w:rsidRPr="00B81EA6">
              <w:rPr>
                <w:b/>
                <w:bCs/>
              </w:rPr>
              <w:t>VÝSTUP</w:t>
            </w:r>
          </w:p>
        </w:tc>
      </w:tr>
      <w:tr w:rsidR="00B9798A" w:rsidRPr="00B81EA6" w14:paraId="525A60CC" w14:textId="77777777" w:rsidTr="00A00F64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587E" w14:textId="77777777" w:rsidR="00B9798A" w:rsidRPr="00B81EA6" w:rsidRDefault="00B9798A" w:rsidP="00A00F64">
            <w:pPr>
              <w:pStyle w:val="Bnodstavec"/>
              <w:rPr>
                <w:b/>
                <w:bCs/>
              </w:rPr>
            </w:pPr>
            <w:r w:rsidRPr="00B81EA6">
              <w:rPr>
                <w:b/>
                <w:bCs/>
              </w:rPr>
              <w:t>55 odběrů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584" w14:textId="77777777" w:rsidR="00B9798A" w:rsidRPr="00B81EA6" w:rsidRDefault="00B9798A" w:rsidP="00A00F64">
            <w:pPr>
              <w:pStyle w:val="Bnodstavec"/>
              <w:rPr>
                <w:b/>
                <w:bCs/>
              </w:rPr>
            </w:pPr>
            <w:r w:rsidRPr="00B81EA6">
              <w:rPr>
                <w:b/>
                <w:bCs/>
              </w:rPr>
              <w:t>55 odběrů</w:t>
            </w:r>
          </w:p>
        </w:tc>
      </w:tr>
      <w:tr w:rsidR="00B9798A" w:rsidRPr="00B81EA6" w14:paraId="223E97F5" w14:textId="77777777" w:rsidTr="00A00F64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5816" w14:textId="77777777" w:rsidR="00B9798A" w:rsidRPr="00B81EA6" w:rsidRDefault="00B9798A" w:rsidP="00A00F64">
            <w:pPr>
              <w:pStyle w:val="Bnodstavec"/>
            </w:pPr>
            <w:r w:rsidRPr="00B81EA6">
              <w:t>1x 5 ml, červená zkumavka (sérum)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25FF" w14:textId="77777777" w:rsidR="00B9798A" w:rsidRPr="00B81EA6" w:rsidRDefault="00B9798A" w:rsidP="00A00F64">
            <w:pPr>
              <w:pStyle w:val="Bnodstavec"/>
            </w:pPr>
            <w:r w:rsidRPr="00B81EA6">
              <w:t>1x 5 ml, červená zkumavka (sérum)</w:t>
            </w:r>
          </w:p>
        </w:tc>
      </w:tr>
      <w:tr w:rsidR="00B9798A" w:rsidRPr="00B81EA6" w14:paraId="11CF79B5" w14:textId="77777777" w:rsidTr="00A00F64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045" w14:textId="77777777" w:rsidR="00B9798A" w:rsidRPr="00B81EA6" w:rsidRDefault="00B9798A" w:rsidP="00A00F64">
            <w:pPr>
              <w:pStyle w:val="Bnodstavec"/>
            </w:pPr>
            <w:r w:rsidRPr="00B81EA6">
              <w:t>1x 5 ml, červená zkumavka (sérum)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3EBC" w14:textId="77777777" w:rsidR="00B9798A" w:rsidRPr="00B81EA6" w:rsidRDefault="00B9798A" w:rsidP="00A00F64">
            <w:pPr>
              <w:pStyle w:val="Bnodstavec"/>
            </w:pPr>
            <w:r w:rsidRPr="00B81EA6">
              <w:t>1x 5 ml, červená zkumavka (sérum)</w:t>
            </w:r>
          </w:p>
        </w:tc>
      </w:tr>
      <w:tr w:rsidR="00B9798A" w:rsidRPr="00B81EA6" w14:paraId="4E3A3E67" w14:textId="77777777" w:rsidTr="00A00F64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CC33" w14:textId="77777777" w:rsidR="00B9798A" w:rsidRPr="00B81EA6" w:rsidRDefault="00B9798A" w:rsidP="00A00F64">
            <w:pPr>
              <w:pStyle w:val="Bnodstavec"/>
            </w:pPr>
            <w:r w:rsidRPr="00B81EA6">
              <w:t>1x 3 ml, fialová zkumavka (K3EDTA)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AA40" w14:textId="77777777" w:rsidR="00B9798A" w:rsidRPr="00B81EA6" w:rsidRDefault="00B9798A" w:rsidP="00A00F64">
            <w:pPr>
              <w:pStyle w:val="Bnodstavec"/>
            </w:pPr>
            <w:r w:rsidRPr="00B81EA6">
              <w:t>1x 3 ml, fialová zkumavka (K3EDTA)</w:t>
            </w:r>
          </w:p>
        </w:tc>
      </w:tr>
    </w:tbl>
    <w:p w14:paraId="39FDF45D" w14:textId="77777777" w:rsidR="005F335C" w:rsidRDefault="005F335C" w:rsidP="000C2F9A">
      <w:pPr>
        <w:pStyle w:val="Bnodstavec"/>
        <w:spacing w:before="0" w:after="0"/>
        <w:rPr>
          <w:b/>
          <w:bCs/>
        </w:rPr>
      </w:pPr>
    </w:p>
    <w:p w14:paraId="773281AA" w14:textId="606C68D1" w:rsidR="00B9798A" w:rsidRPr="003B375D" w:rsidRDefault="00B9798A" w:rsidP="000C2F9A">
      <w:pPr>
        <w:pStyle w:val="Bnodstavec"/>
        <w:numPr>
          <w:ilvl w:val="0"/>
          <w:numId w:val="9"/>
        </w:numPr>
        <w:spacing w:before="0" w:after="0"/>
        <w:rPr>
          <w:b/>
          <w:bCs/>
          <w:u w:val="single"/>
        </w:rPr>
      </w:pPr>
      <w:r w:rsidRPr="003B375D">
        <w:rPr>
          <w:b/>
          <w:bCs/>
          <w:u w:val="single"/>
        </w:rPr>
        <w:t xml:space="preserve">Intervence – Komplexní lázeňská léčebně rehabilitační péče </w:t>
      </w:r>
    </w:p>
    <w:p w14:paraId="67A54E31" w14:textId="77777777" w:rsidR="00B9798A" w:rsidRDefault="00B9798A" w:rsidP="000C2F9A">
      <w:pPr>
        <w:pStyle w:val="Bnodstavec"/>
        <w:spacing w:before="0" w:after="0"/>
      </w:pPr>
      <w:r w:rsidRPr="00B81EA6">
        <w:t xml:space="preserve">Léčebná intervence v rámci KLP zahrnující </w:t>
      </w:r>
      <w:r w:rsidRPr="00B81EA6">
        <w:rPr>
          <w:b/>
          <w:bCs/>
        </w:rPr>
        <w:t>tradiční františkolázeňské procedury pro léčbu ženské neplodnosti</w:t>
      </w:r>
      <w:r w:rsidRPr="00B81EA6">
        <w:t xml:space="preserve"> (přesněji – indikace XI/1) v kombinaci s ostatními procedurami působícími celkově na organismus bez gynekologické specifikace.</w:t>
      </w:r>
    </w:p>
    <w:p w14:paraId="48936DF9" w14:textId="77777777" w:rsidR="000C2F9A" w:rsidRPr="00B81EA6" w:rsidRDefault="000C2F9A" w:rsidP="000C2F9A">
      <w:pPr>
        <w:pStyle w:val="Bnodstavec"/>
        <w:spacing w:before="0" w:after="0"/>
      </w:pPr>
    </w:p>
    <w:p w14:paraId="4BB59C52" w14:textId="77777777" w:rsidR="00B9798A" w:rsidRDefault="00B9798A" w:rsidP="000C2F9A">
      <w:pPr>
        <w:pStyle w:val="Bnodstavec"/>
        <w:spacing w:before="0" w:after="0"/>
      </w:pPr>
      <w:r w:rsidRPr="00B81EA6">
        <w:t xml:space="preserve">Základem KLP pro výše zmíněnou indikaci je využívání přírodních léčivých zdrojů – minerální prameny ve formě vaginální irigace, slatina formou izotermní koupele či kalhotkových zábalů a slatinných tamponů, kysličník uhličitý ve formě sedací plynové uhličité koupele a plynových injekcí. Dále je využito zejména gynekologického cvičení skupinového či gynekologické jógy a individuální fyzioterapie (např. </w:t>
      </w:r>
      <w:r w:rsidRPr="00B81EA6">
        <w:lastRenderedPageBreak/>
        <w:t xml:space="preserve">metoda Ludmily Mojžíšové). Další procedury jsou předepisovány na základě posouzení zdravotního stavu pacientky lázeňským lékařem při vstupním vyšetření. </w:t>
      </w:r>
    </w:p>
    <w:p w14:paraId="134B9D5B" w14:textId="77777777" w:rsidR="000C2F9A" w:rsidRPr="00B81EA6" w:rsidRDefault="000C2F9A" w:rsidP="000C2F9A">
      <w:pPr>
        <w:pStyle w:val="Bnodstavec"/>
        <w:spacing w:before="0" w:after="0"/>
      </w:pPr>
    </w:p>
    <w:p w14:paraId="113ACC8F" w14:textId="77777777" w:rsidR="00B9798A" w:rsidRDefault="00B9798A" w:rsidP="000C2F9A">
      <w:pPr>
        <w:pStyle w:val="Bnodstavec"/>
        <w:spacing w:before="0" w:after="0"/>
      </w:pPr>
      <w:r w:rsidRPr="00B81EA6">
        <w:t xml:space="preserve">Dále pacientka podstupuje pitnou kúru františkolázeňskými minerálními prameny dle ordinace lázeňského lékaře. </w:t>
      </w:r>
    </w:p>
    <w:p w14:paraId="79B51151" w14:textId="77777777" w:rsidR="000C2F9A" w:rsidRPr="00B81EA6" w:rsidRDefault="000C2F9A" w:rsidP="000C2F9A">
      <w:pPr>
        <w:pStyle w:val="Bnodstavec"/>
        <w:spacing w:before="0" w:after="0"/>
      </w:pPr>
    </w:p>
    <w:p w14:paraId="17C64A77" w14:textId="77777777" w:rsidR="00B9798A" w:rsidRPr="00B81EA6" w:rsidRDefault="00B9798A" w:rsidP="000C2F9A">
      <w:pPr>
        <w:pStyle w:val="Bnodstavec"/>
        <w:spacing w:before="0" w:after="0"/>
        <w:rPr>
          <w:b/>
          <w:bCs/>
        </w:rPr>
      </w:pPr>
      <w:r w:rsidRPr="00B81EA6">
        <w:rPr>
          <w:b/>
          <w:bCs/>
        </w:rPr>
        <w:t xml:space="preserve">Standardní délka KLP je 21 dní, během kterých pacientka absolvuje celkem 63 procedur. Po návrhu lékaře v lázeňském zařízení a na základě schválení revizního lékaře zdravotní pojišťovny je možné prodloužení pobytu až na 28 dní. </w:t>
      </w:r>
    </w:p>
    <w:p w14:paraId="2D2379C5" w14:textId="77777777" w:rsidR="00B9798A" w:rsidRPr="00B81EA6" w:rsidRDefault="00B9798A" w:rsidP="000C2F9A">
      <w:pPr>
        <w:pStyle w:val="Bnodstavec"/>
        <w:spacing w:before="0" w:after="0"/>
      </w:pPr>
    </w:p>
    <w:p w14:paraId="4503396E" w14:textId="77777777" w:rsidR="00B9798A" w:rsidRPr="00B81EA6" w:rsidRDefault="00B9798A" w:rsidP="000C2F9A">
      <w:pPr>
        <w:pStyle w:val="Bnodstavec"/>
        <w:numPr>
          <w:ilvl w:val="0"/>
          <w:numId w:val="9"/>
        </w:numPr>
        <w:spacing w:before="0" w:after="0"/>
        <w:rPr>
          <w:b/>
          <w:bCs/>
        </w:rPr>
      </w:pPr>
      <w:r w:rsidRPr="003B375D">
        <w:rPr>
          <w:b/>
          <w:bCs/>
          <w:u w:val="single"/>
        </w:rPr>
        <w:t>Edukace pacientky</w:t>
      </w:r>
    </w:p>
    <w:p w14:paraId="631F8AE7" w14:textId="5041C77F" w:rsidR="003B375D" w:rsidRDefault="00B9798A" w:rsidP="00C716F5">
      <w:pPr>
        <w:pStyle w:val="Bnodstavec"/>
        <w:spacing w:before="0" w:after="0"/>
      </w:pPr>
      <w:r w:rsidRPr="00B81EA6">
        <w:t>Edukace pacientky nastupující na KLP do zařízení ve Františkových Lázních ohledně průběhu klinické studie, vyšetření a odběrů vzorků krve a moči proběhne ze strany lázeňského zdravotnického personálu.</w:t>
      </w:r>
    </w:p>
    <w:p w14:paraId="1ADF8BD5" w14:textId="77777777" w:rsidR="003B375D" w:rsidRDefault="003B375D" w:rsidP="00CD7459">
      <w:pPr>
        <w:spacing w:after="120"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27873986" w14:textId="77777777" w:rsidR="008A6EE7" w:rsidRPr="008A6EE7" w:rsidRDefault="008A6EE7" w:rsidP="003B375D">
      <w:pPr>
        <w:pStyle w:val="Bnodstavec"/>
        <w:numPr>
          <w:ilvl w:val="0"/>
          <w:numId w:val="9"/>
        </w:numPr>
        <w:spacing w:before="0" w:after="0"/>
        <w:rPr>
          <w:b/>
          <w:bCs/>
        </w:rPr>
      </w:pPr>
      <w:r w:rsidRPr="008A6EE7">
        <w:rPr>
          <w:b/>
          <w:bCs/>
          <w:u w:val="single"/>
        </w:rPr>
        <w:t>Harmonogram</w:t>
      </w:r>
    </w:p>
    <w:p w14:paraId="09B69B0E" w14:textId="77777777" w:rsidR="008A6EE7" w:rsidRPr="008A6EE7" w:rsidRDefault="008A6EE7" w:rsidP="008A6EE7">
      <w:pPr>
        <w:spacing w:after="120"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 xml:space="preserve">Obr.1: </w:t>
      </w:r>
      <w:r w:rsidRPr="008A6EE7">
        <w:rPr>
          <w:rFonts w:ascii="Arial" w:hAnsi="Arial"/>
          <w:i/>
          <w:iCs/>
          <w:sz w:val="20"/>
          <w:szCs w:val="20"/>
        </w:rPr>
        <w:t>Harmonogram rozvrhu vstupního/výstupního fyzikálního a laboratorního vyšetření.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8A6EE7" w:rsidRPr="008A6EE7" w14:paraId="391A63A8" w14:textId="77777777" w:rsidTr="00EC3CC5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67259A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A6EE7">
              <w:rPr>
                <w:rFonts w:ascii="Arial" w:hAnsi="Arial"/>
                <w:b/>
                <w:bCs/>
                <w:sz w:val="20"/>
                <w:szCs w:val="20"/>
              </w:rPr>
              <w:t>DEN KOMPLEXNÍ LÁZEŇSKÉ LÉČEBNĚ REHABILITAČNÍ PÉČE</w:t>
            </w:r>
          </w:p>
        </w:tc>
      </w:tr>
      <w:tr w:rsidR="008A6EE7" w:rsidRPr="008A6EE7" w14:paraId="7C1F703B" w14:textId="77777777" w:rsidTr="00EC3CC5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E49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85B4095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FC97AB4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EC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E01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63EA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30C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1170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382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3015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75C3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567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68E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79FB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2AA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3B3E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7F0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7C9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5EA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C71A4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347FF72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21</w:t>
            </w:r>
          </w:p>
        </w:tc>
      </w:tr>
      <w:tr w:rsidR="008A6EE7" w:rsidRPr="008A6EE7" w14:paraId="6C37ABA0" w14:textId="77777777" w:rsidTr="00EC3CC5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219400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A6EE7">
              <w:rPr>
                <w:rFonts w:ascii="Arial" w:hAnsi="Arial"/>
                <w:b/>
                <w:bCs/>
                <w:sz w:val="20"/>
                <w:szCs w:val="20"/>
              </w:rPr>
              <w:t>DEN MENSTRUAČNÍHO CYKLU</w:t>
            </w:r>
          </w:p>
        </w:tc>
      </w:tr>
      <w:tr w:rsidR="008A6EE7" w:rsidRPr="008A6EE7" w14:paraId="6C7B2599" w14:textId="77777777" w:rsidTr="00EC3CC5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FAFC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3C"/>
            <w:vAlign w:val="center"/>
            <w:hideMark/>
          </w:tcPr>
          <w:p w14:paraId="160C51B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3C"/>
            <w:vAlign w:val="center"/>
            <w:hideMark/>
          </w:tcPr>
          <w:p w14:paraId="71A7ADD9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BE7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050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CD45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B299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6BF3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375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24A8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3E9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1EF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1D2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084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7FE1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21B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7B4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2AF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0BCC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845A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321B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A6EE7">
              <w:rPr>
                <w:rFonts w:ascii="Arial" w:hAnsi="Arial"/>
                <w:sz w:val="18"/>
                <w:szCs w:val="18"/>
              </w:rPr>
              <w:t>28</w:t>
            </w:r>
          </w:p>
        </w:tc>
      </w:tr>
      <w:tr w:rsidR="008A6EE7" w:rsidRPr="008A6EE7" w14:paraId="7E72963F" w14:textId="77777777" w:rsidTr="00EC3CC5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5E5F15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A6EE7">
              <w:rPr>
                <w:rFonts w:ascii="Arial" w:hAnsi="Arial"/>
                <w:b/>
                <w:bCs/>
                <w:sz w:val="20"/>
                <w:szCs w:val="20"/>
              </w:rPr>
              <w:t>POPIS ČINNOSTÍ</w:t>
            </w:r>
          </w:p>
        </w:tc>
      </w:tr>
      <w:tr w:rsidR="008A6EE7" w:rsidRPr="008A6EE7" w14:paraId="7249DAE7" w14:textId="77777777" w:rsidTr="00EC3CC5">
        <w:trPr>
          <w:cantSplit/>
          <w:trHeight w:val="69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FAE521" w14:textId="77777777" w:rsidR="008A6EE7" w:rsidRPr="008A6EE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A6EE7">
              <w:rPr>
                <w:rFonts w:ascii="Arial" w:hAnsi="Arial"/>
                <w:sz w:val="20"/>
                <w:szCs w:val="20"/>
              </w:rPr>
              <w:lastRenderedPageBreak/>
              <w:t>Příjezd pacientky, vstupní vyšetření, zařazení do studie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34C861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 xml:space="preserve">Vstup. vyšetření, zařazení do studie, fyzikální vyšetření, </w:t>
            </w:r>
            <w:proofErr w:type="spellStart"/>
            <w:r w:rsidRPr="00EA2DD7">
              <w:rPr>
                <w:rFonts w:ascii="Arial" w:hAnsi="Arial"/>
                <w:sz w:val="20"/>
                <w:szCs w:val="20"/>
              </w:rPr>
              <w:t>lab</w:t>
            </w:r>
            <w:proofErr w:type="spellEnd"/>
            <w:r w:rsidRPr="00EA2DD7">
              <w:rPr>
                <w:rFonts w:ascii="Arial" w:hAnsi="Arial"/>
                <w:sz w:val="20"/>
                <w:szCs w:val="20"/>
              </w:rPr>
              <w:t>. odběr, 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F7FD37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EA2DD7">
              <w:rPr>
                <w:rFonts w:ascii="Arial" w:hAnsi="Arial"/>
                <w:sz w:val="20"/>
                <w:szCs w:val="20"/>
              </w:rPr>
              <w:t>Lab</w:t>
            </w:r>
            <w:proofErr w:type="spellEnd"/>
            <w:r w:rsidRPr="00EA2DD7">
              <w:rPr>
                <w:rFonts w:ascii="Arial" w:hAnsi="Arial"/>
                <w:sz w:val="20"/>
                <w:szCs w:val="20"/>
              </w:rPr>
              <w:t>. odběr, 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BA07DC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C7DCE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031D7A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EC2C2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D28CFB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74071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EFFEED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395B4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62D86E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15DD15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F68C3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2DD87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951F8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A6D55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158B4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4D0EC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>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3FDE47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 xml:space="preserve">Výstupní vyšetření, fyzikální vyšetření, </w:t>
            </w:r>
            <w:proofErr w:type="spellStart"/>
            <w:r w:rsidRPr="00EA2DD7">
              <w:rPr>
                <w:rFonts w:ascii="Arial" w:hAnsi="Arial"/>
                <w:sz w:val="20"/>
                <w:szCs w:val="20"/>
              </w:rPr>
              <w:t>lab</w:t>
            </w:r>
            <w:proofErr w:type="spellEnd"/>
            <w:r w:rsidRPr="00EA2DD7">
              <w:rPr>
                <w:rFonts w:ascii="Arial" w:hAnsi="Arial"/>
                <w:sz w:val="20"/>
                <w:szCs w:val="20"/>
              </w:rPr>
              <w:t>. odběr, KLP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3F1D0A" w14:textId="77777777" w:rsidR="008A6EE7" w:rsidRPr="00EA2DD7" w:rsidRDefault="008A6EE7" w:rsidP="008A6EE7">
            <w:pPr>
              <w:spacing w:after="12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EA2DD7">
              <w:rPr>
                <w:rFonts w:ascii="Arial" w:hAnsi="Arial"/>
                <w:sz w:val="20"/>
                <w:szCs w:val="20"/>
              </w:rPr>
              <w:t xml:space="preserve">Výstupní vyšetření, fyzikální vyšetření, </w:t>
            </w:r>
            <w:proofErr w:type="spellStart"/>
            <w:r w:rsidRPr="00EA2DD7">
              <w:rPr>
                <w:rFonts w:ascii="Arial" w:hAnsi="Arial"/>
                <w:sz w:val="20"/>
                <w:szCs w:val="20"/>
              </w:rPr>
              <w:t>lab</w:t>
            </w:r>
            <w:proofErr w:type="spellEnd"/>
            <w:r w:rsidRPr="00EA2DD7">
              <w:rPr>
                <w:rFonts w:ascii="Arial" w:hAnsi="Arial"/>
                <w:sz w:val="20"/>
                <w:szCs w:val="20"/>
              </w:rPr>
              <w:t>. odběr, odjezd pacientky</w:t>
            </w:r>
          </w:p>
        </w:tc>
      </w:tr>
    </w:tbl>
    <w:p w14:paraId="165FBAB2" w14:textId="77777777" w:rsidR="008A6EE7" w:rsidRPr="008A6EE7" w:rsidRDefault="008A6EE7" w:rsidP="008A6EE7">
      <w:pPr>
        <w:spacing w:after="120"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7189EBFE" w14:textId="77777777" w:rsidR="008A6EE7" w:rsidRPr="008A6EE7" w:rsidRDefault="008A6EE7" w:rsidP="003B375D">
      <w:pPr>
        <w:pStyle w:val="Bnodstavec"/>
        <w:numPr>
          <w:ilvl w:val="0"/>
          <w:numId w:val="9"/>
        </w:numPr>
        <w:spacing w:before="0" w:after="0"/>
        <w:rPr>
          <w:b/>
          <w:bCs/>
        </w:rPr>
      </w:pPr>
      <w:r w:rsidRPr="008A6EE7">
        <w:rPr>
          <w:b/>
          <w:bCs/>
          <w:u w:val="single"/>
        </w:rPr>
        <w:t>Definice požadavků na dokumentaci</w:t>
      </w:r>
    </w:p>
    <w:p w14:paraId="532F6B5B" w14:textId="77777777" w:rsid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>Veškerá data a anamnestické údaje budou Institutu lázeňství a balneologie, v. v. i. předávány v </w:t>
      </w:r>
      <w:proofErr w:type="spellStart"/>
      <w:r w:rsidRPr="008A6EE7">
        <w:rPr>
          <w:rFonts w:ascii="Arial" w:hAnsi="Arial"/>
          <w:sz w:val="20"/>
          <w:szCs w:val="20"/>
          <w:u w:val="single"/>
        </w:rPr>
        <w:t>pseudonymizované</w:t>
      </w:r>
      <w:proofErr w:type="spellEnd"/>
      <w:r w:rsidRPr="008A6EE7">
        <w:rPr>
          <w:rFonts w:ascii="Arial" w:hAnsi="Arial"/>
          <w:sz w:val="20"/>
          <w:szCs w:val="20"/>
          <w:u w:val="single"/>
        </w:rPr>
        <w:t xml:space="preserve"> podobě</w:t>
      </w:r>
      <w:r w:rsidRPr="008A6EE7">
        <w:rPr>
          <w:rFonts w:ascii="Arial" w:hAnsi="Arial"/>
          <w:sz w:val="20"/>
          <w:szCs w:val="20"/>
        </w:rPr>
        <w:t xml:space="preserve"> v souladu s Článkem 4, odst. 5), Nařízení Evropského parlamentu a Rady (EU) 2016/679 ze dne 27. dubna 2016 o ochraně fyzických osob v souvislosti se zpracováním osobních údajů a o volném pohybu těchto údajů a o zrušení směrnice 95/46/ES (obecné nařízení o ochraně osobních údajů), a nebudou poskytovány třetím osobám. Institut lázeňství a balneologie, v. v. i. tímto prohlašuje, že se získanými údaji bude nakládáno výhradně pro účely daného výzkumu, v souladu s platnou legislativou a podle principů Správné klinické praxe.</w:t>
      </w:r>
    </w:p>
    <w:p w14:paraId="6B7C5F76" w14:textId="77777777" w:rsidR="000C2F9A" w:rsidRPr="008A6EE7" w:rsidRDefault="000C2F9A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D36541B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 xml:space="preserve">Data budou </w:t>
      </w:r>
      <w:proofErr w:type="spellStart"/>
      <w:r w:rsidRPr="008A6EE7">
        <w:rPr>
          <w:rFonts w:ascii="Arial" w:hAnsi="Arial"/>
          <w:sz w:val="20"/>
          <w:szCs w:val="20"/>
        </w:rPr>
        <w:t>ILaBu</w:t>
      </w:r>
      <w:proofErr w:type="spellEnd"/>
      <w:r w:rsidRPr="008A6EE7">
        <w:rPr>
          <w:rFonts w:ascii="Arial" w:hAnsi="Arial"/>
          <w:sz w:val="20"/>
          <w:szCs w:val="20"/>
        </w:rPr>
        <w:t xml:space="preserve"> předávána výhradně </w:t>
      </w:r>
      <w:proofErr w:type="spellStart"/>
      <w:r w:rsidRPr="008A6EE7">
        <w:rPr>
          <w:rFonts w:ascii="Arial" w:hAnsi="Arial"/>
          <w:sz w:val="20"/>
          <w:szCs w:val="20"/>
        </w:rPr>
        <w:t>pseudonymizovaná</w:t>
      </w:r>
      <w:proofErr w:type="spellEnd"/>
      <w:r w:rsidRPr="008A6EE7">
        <w:rPr>
          <w:rFonts w:ascii="Arial" w:hAnsi="Arial"/>
          <w:sz w:val="20"/>
          <w:szCs w:val="20"/>
        </w:rPr>
        <w:t xml:space="preserve"> v papírové i v elektronické podobě. Data v papírové podobě budou jednotlivě tištěna na papíry, které budou přehledně vkládány nejprve do hladkých prospektových obalů, tyto do rychlovazačů s </w:t>
      </w:r>
      <w:proofErr w:type="spellStart"/>
      <w:r w:rsidRPr="008A6EE7">
        <w:rPr>
          <w:rFonts w:ascii="Arial" w:hAnsi="Arial"/>
          <w:sz w:val="20"/>
          <w:szCs w:val="20"/>
        </w:rPr>
        <w:t>euroděrováním</w:t>
      </w:r>
      <w:proofErr w:type="spellEnd"/>
      <w:r w:rsidRPr="008A6EE7">
        <w:rPr>
          <w:rFonts w:ascii="Arial" w:hAnsi="Arial"/>
          <w:sz w:val="20"/>
          <w:szCs w:val="20"/>
        </w:rPr>
        <w:t xml:space="preserve"> (1 rychlovazač/1 pacient), rychlovazače budou na hřbetu čitelně označeny ID kódem pacienta a ukládány do šanonů (1 šanon/10 pacientů). Data v elektronické podobě budou </w:t>
      </w:r>
      <w:proofErr w:type="spellStart"/>
      <w:r w:rsidRPr="008A6EE7">
        <w:rPr>
          <w:rFonts w:ascii="Arial" w:hAnsi="Arial"/>
          <w:sz w:val="20"/>
          <w:szCs w:val="20"/>
        </w:rPr>
        <w:t>ILaBu</w:t>
      </w:r>
      <w:proofErr w:type="spellEnd"/>
      <w:r w:rsidRPr="008A6EE7">
        <w:rPr>
          <w:rFonts w:ascii="Arial" w:hAnsi="Arial"/>
          <w:sz w:val="20"/>
          <w:szCs w:val="20"/>
        </w:rPr>
        <w:t xml:space="preserve"> předávána obdobně strukturovaná na vyhrazeném USB </w:t>
      </w:r>
      <w:proofErr w:type="spellStart"/>
      <w:r w:rsidRPr="008A6EE7">
        <w:rPr>
          <w:rFonts w:ascii="Arial" w:hAnsi="Arial"/>
          <w:sz w:val="20"/>
          <w:szCs w:val="20"/>
        </w:rPr>
        <w:t>flash</w:t>
      </w:r>
      <w:proofErr w:type="spellEnd"/>
      <w:r w:rsidRPr="008A6EE7">
        <w:rPr>
          <w:rFonts w:ascii="Arial" w:hAnsi="Arial"/>
          <w:sz w:val="20"/>
          <w:szCs w:val="20"/>
        </w:rPr>
        <w:t xml:space="preserve"> disku zabezpečeném heslem. </w:t>
      </w:r>
    </w:p>
    <w:p w14:paraId="084565AE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95A7DD4" w14:textId="49A90CFC" w:rsid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 xml:space="preserve">Požadujeme: celkovou anamnézu (včetně popisu všech diagnóz); kompletní rozpis lázeňských procedur; výsledky fyzikálních vyšetření; výsledky laboratorních vyšetření; vyplněné dotazníky. </w:t>
      </w:r>
      <w:r w:rsidRPr="008A6EE7">
        <w:rPr>
          <w:rFonts w:ascii="Arial" w:hAnsi="Arial"/>
          <w:sz w:val="20"/>
          <w:szCs w:val="20"/>
        </w:rPr>
        <w:lastRenderedPageBreak/>
        <w:t>Všechna data budou označena vždy pouze ID kódem pacient</w:t>
      </w:r>
      <w:r w:rsidR="00C857DC">
        <w:rPr>
          <w:rFonts w:ascii="Arial" w:hAnsi="Arial"/>
          <w:sz w:val="20"/>
          <w:szCs w:val="20"/>
        </w:rPr>
        <w:t>ky</w:t>
      </w:r>
      <w:r w:rsidRPr="008A6EE7">
        <w:rPr>
          <w:rFonts w:ascii="Arial" w:hAnsi="Arial"/>
          <w:sz w:val="20"/>
          <w:szCs w:val="20"/>
        </w:rPr>
        <w:t xml:space="preserve"> + viditelným označením, zda se jedná o data vstupní, pořízená na začátku KLP, nebo výstupní, pořízená na konci KLP.</w:t>
      </w:r>
    </w:p>
    <w:p w14:paraId="377D24CF" w14:textId="77777777" w:rsidR="005000C7" w:rsidRDefault="005000C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7176118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 xml:space="preserve">Potřebné </w:t>
      </w:r>
      <w:r w:rsidRPr="008A6EE7">
        <w:rPr>
          <w:rFonts w:ascii="Arial" w:hAnsi="Arial"/>
          <w:sz w:val="20"/>
          <w:szCs w:val="20"/>
          <w:u w:val="single"/>
        </w:rPr>
        <w:t>minimální</w:t>
      </w:r>
      <w:r w:rsidRPr="008A6EE7">
        <w:rPr>
          <w:rFonts w:ascii="Arial" w:hAnsi="Arial"/>
          <w:sz w:val="20"/>
          <w:szCs w:val="20"/>
        </w:rPr>
        <w:t xml:space="preserve"> vybavení:</w:t>
      </w:r>
    </w:p>
    <w:p w14:paraId="06F4C2AB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 xml:space="preserve">USB </w:t>
      </w:r>
      <w:proofErr w:type="spellStart"/>
      <w:r w:rsidRPr="008A6EE7">
        <w:rPr>
          <w:rFonts w:ascii="Arial" w:hAnsi="Arial"/>
          <w:sz w:val="20"/>
          <w:szCs w:val="20"/>
        </w:rPr>
        <w:t>flash</w:t>
      </w:r>
      <w:proofErr w:type="spellEnd"/>
      <w:r w:rsidRPr="008A6EE7">
        <w:rPr>
          <w:rFonts w:ascii="Arial" w:hAnsi="Arial"/>
          <w:sz w:val="20"/>
          <w:szCs w:val="20"/>
        </w:rPr>
        <w:t xml:space="preserve"> disk 128 GB (softwarové AES-128 šifrování, USB 3.2 Gen 1 (USB 3.0), </w:t>
      </w:r>
      <w:r w:rsidRPr="008A6EE7">
        <w:rPr>
          <w:rFonts w:ascii="Arial" w:hAnsi="Arial"/>
          <w:sz w:val="20"/>
          <w:szCs w:val="20"/>
        </w:rPr>
        <w:br/>
        <w:t xml:space="preserve">konektor USB-A a USB-C).     </w:t>
      </w:r>
    </w:p>
    <w:p w14:paraId="76DCD1A4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10637146" w14:textId="77777777" w:rsidR="008A6EE7" w:rsidRPr="008A6EE7" w:rsidRDefault="008A6EE7" w:rsidP="000C2F9A">
      <w:pPr>
        <w:pStyle w:val="Bnodstavec"/>
        <w:numPr>
          <w:ilvl w:val="0"/>
          <w:numId w:val="9"/>
        </w:numPr>
        <w:spacing w:before="0" w:after="0"/>
        <w:rPr>
          <w:b/>
          <w:bCs/>
          <w:u w:val="single"/>
        </w:rPr>
      </w:pPr>
      <w:r w:rsidRPr="008A6EE7">
        <w:rPr>
          <w:b/>
          <w:bCs/>
          <w:u w:val="single"/>
        </w:rPr>
        <w:t>Etické aspekty</w:t>
      </w:r>
    </w:p>
    <w:p w14:paraId="51FD4519" w14:textId="77777777" w:rsid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>Klinická studie byla schválena rozhodnutím Etické komise Fakultní nemocnice a Lékařské fakulty v Plzni, ze dne 02.11.2023, č.j. 431/23.</w:t>
      </w:r>
    </w:p>
    <w:p w14:paraId="17CE12C2" w14:textId="77777777" w:rsidR="000C2F9A" w:rsidRPr="008A6EE7" w:rsidRDefault="000C2F9A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C50B289" w14:textId="77777777" w:rsid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>Každé pacientce se zájmem o zařazení do studie, bude na začátku komplexní lázeňské léčebně rehabilitační péče předložen a srozumitelným způsobem vysvětlen Informovaný souhlas, po jehož seznámení se a odsouhlasení jej pacientka podepíše. Podepsaný originál informovaného souhlasu zůstane uložen v lázeňském zařízení, spolu s ostatními pacientskými daty pořízenými v rámci této klinické studie.</w:t>
      </w:r>
    </w:p>
    <w:p w14:paraId="715B56A9" w14:textId="77777777" w:rsidR="000C2F9A" w:rsidRPr="008A6EE7" w:rsidRDefault="000C2F9A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EDE2589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>Předkládaná studie nepřináší pacientkám žádná významná zdravotní rizika ve srovnání se standardní komplexní lázeňskou léčebně rehabilitační péčí.</w:t>
      </w:r>
    </w:p>
    <w:p w14:paraId="6B52C4AB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14FD466" w14:textId="77777777" w:rsidR="008A6EE7" w:rsidRPr="008A6EE7" w:rsidRDefault="008A6EE7" w:rsidP="000C2F9A">
      <w:pPr>
        <w:pStyle w:val="Bnodstavec"/>
        <w:numPr>
          <w:ilvl w:val="0"/>
          <w:numId w:val="9"/>
        </w:numPr>
        <w:spacing w:before="0" w:after="0"/>
        <w:rPr>
          <w:b/>
          <w:bCs/>
        </w:rPr>
      </w:pPr>
      <w:r w:rsidRPr="008A6EE7">
        <w:rPr>
          <w:b/>
          <w:bCs/>
          <w:u w:val="single"/>
        </w:rPr>
        <w:t>Právní odpovědnost</w:t>
      </w:r>
      <w:r w:rsidRPr="008A6EE7">
        <w:rPr>
          <w:b/>
          <w:bCs/>
        </w:rPr>
        <w:t xml:space="preserve"> </w:t>
      </w:r>
    </w:p>
    <w:p w14:paraId="4E9425B2" w14:textId="77777777" w:rsidR="008A6EE7" w:rsidRPr="008A6EE7" w:rsidRDefault="008A6EE7" w:rsidP="000C2F9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A6EE7">
        <w:rPr>
          <w:rFonts w:ascii="Arial" w:hAnsi="Arial"/>
          <w:sz w:val="20"/>
          <w:szCs w:val="20"/>
        </w:rPr>
        <w:t>Právní odpovědnost za účastníky studie nese lázeňské zařízení.</w:t>
      </w:r>
    </w:p>
    <w:p w14:paraId="7DFFA5B4" w14:textId="77777777" w:rsidR="00222AA3" w:rsidRDefault="00222AA3" w:rsidP="000C2F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C3536C" w14:textId="77777777" w:rsidR="00D55AAD" w:rsidRDefault="00D55AAD" w:rsidP="000C2F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BE4FFA" w14:textId="77777777" w:rsidR="00D55AAD" w:rsidRDefault="00D55AAD" w:rsidP="00222AA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84F11C" w14:textId="77777777" w:rsidR="00222AA3" w:rsidRPr="00171D10" w:rsidRDefault="00222AA3" w:rsidP="00222AA3">
      <w:pPr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  <w:u w:val="single"/>
        </w:rPr>
        <w:t>Pozn</w:t>
      </w:r>
      <w:r w:rsidRPr="00171D10">
        <w:rPr>
          <w:rFonts w:ascii="Arial" w:hAnsi="Arial" w:cs="Arial"/>
          <w:sz w:val="20"/>
          <w:szCs w:val="20"/>
        </w:rPr>
        <w:t>.: Zadavatel si vyhrazuje právo požadovat v případě pochybností předložení:</w:t>
      </w:r>
    </w:p>
    <w:p w14:paraId="2E22AFCA" w14:textId="0661AE80" w:rsidR="00222AA3" w:rsidRPr="00171D10" w:rsidRDefault="00BB2954" w:rsidP="00222A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o dispozici požadovaným personálem a vybavením</w:t>
      </w:r>
    </w:p>
    <w:p w14:paraId="707CCE4C" w14:textId="138492D7" w:rsidR="00222AA3" w:rsidRDefault="00DA6E5A" w:rsidP="00222A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22AA3" w:rsidRPr="00171D10">
        <w:rPr>
          <w:rFonts w:ascii="Arial" w:hAnsi="Arial" w:cs="Arial"/>
          <w:sz w:val="20"/>
          <w:szCs w:val="20"/>
        </w:rPr>
        <w:t>j. dokumenty za účelem ověření.</w:t>
      </w:r>
    </w:p>
    <w:p w14:paraId="6D67CE25" w14:textId="77777777" w:rsidR="00D55AAD" w:rsidRPr="00D55AAD" w:rsidRDefault="00D55AAD" w:rsidP="00D55AAD">
      <w:pPr>
        <w:jc w:val="both"/>
        <w:rPr>
          <w:rFonts w:ascii="Arial" w:hAnsi="Arial" w:cs="Arial"/>
          <w:sz w:val="20"/>
          <w:szCs w:val="20"/>
        </w:rPr>
      </w:pPr>
    </w:p>
    <w:p w14:paraId="7F032F51" w14:textId="77777777" w:rsidR="00222AA3" w:rsidRPr="00171D10" w:rsidRDefault="00222AA3" w:rsidP="00222AA3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C14F0B" w14:textId="1B9D8ADA" w:rsidR="00500553" w:rsidRDefault="00222AA3" w:rsidP="00D55AA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F5E31">
        <w:rPr>
          <w:rFonts w:ascii="Arial" w:hAnsi="Arial" w:cs="Arial"/>
          <w:b/>
          <w:bCs/>
          <w:sz w:val="20"/>
          <w:szCs w:val="20"/>
          <w:u w:val="single"/>
        </w:rPr>
        <w:t>Já, níže podepsaný zástupce účastníka čestně prohlašuji, že výše uvedené údaje jsou pravdivé, a že v případě úspěchu v</w:t>
      </w:r>
      <w:r w:rsidR="00480818">
        <w:rPr>
          <w:rFonts w:ascii="Arial" w:hAnsi="Arial" w:cs="Arial"/>
          <w:b/>
          <w:bCs/>
          <w:sz w:val="20"/>
          <w:szCs w:val="20"/>
          <w:u w:val="single"/>
        </w:rPr>
        <w:t xml:space="preserve"> zadávacím 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řízení </w:t>
      </w:r>
      <w:r w:rsidR="00D55AAD">
        <w:rPr>
          <w:rFonts w:ascii="Arial" w:hAnsi="Arial" w:cs="Arial"/>
          <w:b/>
          <w:bCs/>
          <w:sz w:val="20"/>
          <w:szCs w:val="20"/>
          <w:u w:val="single"/>
        </w:rPr>
        <w:t>poskytneme klinickou studii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 přesně dle </w:t>
      </w:r>
      <w:r w:rsidR="00D55AAD">
        <w:rPr>
          <w:rFonts w:ascii="Arial" w:hAnsi="Arial" w:cs="Arial"/>
          <w:b/>
          <w:bCs/>
          <w:sz w:val="20"/>
          <w:szCs w:val="20"/>
          <w:u w:val="single"/>
        </w:rPr>
        <w:t>specifikace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 a obchodních podmínek ve své nabídce. </w:t>
      </w:r>
    </w:p>
    <w:p w14:paraId="1769A18B" w14:textId="77777777" w:rsidR="00D55AAD" w:rsidRDefault="00D55AAD" w:rsidP="00D55A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0252E7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  <w:shd w:val="clear" w:color="auto" w:fill="FFFF00"/>
        </w:rPr>
        <w:t>………………</w:t>
      </w:r>
      <w:r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sz w:val="20"/>
          <w:szCs w:val="20"/>
          <w:shd w:val="clear" w:color="auto" w:fill="FFFF00"/>
        </w:rPr>
        <w:t>……………</w:t>
      </w:r>
    </w:p>
    <w:p w14:paraId="26335624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</w:p>
    <w:p w14:paraId="1A7C5DF9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</w:p>
    <w:p w14:paraId="302DEA75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C884B8A" w14:textId="77777777" w:rsidR="00500553" w:rsidRDefault="00500553" w:rsidP="00500553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00"/>
        </w:rPr>
        <w:t>…………..…………………………</w:t>
      </w:r>
      <w:r>
        <w:rPr>
          <w:rFonts w:ascii="Arial" w:hAnsi="Arial"/>
          <w:sz w:val="20"/>
          <w:szCs w:val="20"/>
        </w:rPr>
        <w:t>.</w:t>
      </w:r>
    </w:p>
    <w:p w14:paraId="43C6E073" w14:textId="77777777" w:rsidR="00500553" w:rsidRPr="00480818" w:rsidRDefault="00500553" w:rsidP="00500553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Pr="00480818">
        <w:rPr>
          <w:rFonts w:ascii="Arial" w:hAnsi="Arial"/>
          <w:sz w:val="20"/>
          <w:szCs w:val="20"/>
        </w:rPr>
        <w:t xml:space="preserve">Jméno, příjmení, podpis osoby </w:t>
      </w:r>
    </w:p>
    <w:p w14:paraId="3F9D643C" w14:textId="77777777" w:rsidR="00500553" w:rsidRDefault="00500553" w:rsidP="00500553">
      <w:r w:rsidRPr="00480818">
        <w:rPr>
          <w:rFonts w:ascii="Arial" w:hAnsi="Arial"/>
          <w:sz w:val="20"/>
          <w:szCs w:val="20"/>
        </w:rPr>
        <w:t>oprávněné jednat za dodavatele</w:t>
      </w:r>
      <w:r>
        <w:rPr>
          <w:rFonts w:ascii="Arial" w:hAnsi="Arial"/>
          <w:sz w:val="20"/>
          <w:szCs w:val="20"/>
        </w:rPr>
        <w:t>)</w:t>
      </w:r>
    </w:p>
    <w:p w14:paraId="3096605B" w14:textId="77777777" w:rsidR="00D17BC5" w:rsidRDefault="00D17BC5"/>
    <w:sectPr w:rsidR="00D17BC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5719" w14:textId="77777777" w:rsidR="005D5B12" w:rsidRDefault="005D5B12" w:rsidP="0073420D">
      <w:r>
        <w:separator/>
      </w:r>
    </w:p>
  </w:endnote>
  <w:endnote w:type="continuationSeparator" w:id="0">
    <w:p w14:paraId="52CB1079" w14:textId="77777777" w:rsidR="005D5B12" w:rsidRDefault="005D5B12" w:rsidP="0073420D">
      <w:r>
        <w:continuationSeparator/>
      </w:r>
    </w:p>
  </w:endnote>
  <w:endnote w:type="continuationNotice" w:id="1">
    <w:p w14:paraId="6C32F42A" w14:textId="77777777" w:rsidR="005D5B12" w:rsidRDefault="005D5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118E" w14:textId="77777777" w:rsidR="005D5B12" w:rsidRDefault="005D5B12" w:rsidP="0073420D">
      <w:r>
        <w:separator/>
      </w:r>
    </w:p>
  </w:footnote>
  <w:footnote w:type="continuationSeparator" w:id="0">
    <w:p w14:paraId="2A5BADE6" w14:textId="77777777" w:rsidR="005D5B12" w:rsidRDefault="005D5B12" w:rsidP="0073420D">
      <w:r>
        <w:continuationSeparator/>
      </w:r>
    </w:p>
  </w:footnote>
  <w:footnote w:type="continuationNotice" w:id="1">
    <w:p w14:paraId="01741F7E" w14:textId="77777777" w:rsidR="005D5B12" w:rsidRDefault="005D5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317B" w14:textId="63C8215F" w:rsidR="00B76949" w:rsidRDefault="00D67920">
    <w:pPr>
      <w:pStyle w:val="Zhlav"/>
    </w:pPr>
    <w:r w:rsidRPr="00377897">
      <w:rPr>
        <w:noProof/>
      </w:rPr>
      <w:drawing>
        <wp:inline distT="0" distB="0" distL="0" distR="0" wp14:anchorId="0FB52F87" wp14:editId="34ED04BE">
          <wp:extent cx="5759450" cy="415925"/>
          <wp:effectExtent l="0" t="0" r="0" b="3175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4E72"/>
    <w:multiLevelType w:val="hybridMultilevel"/>
    <w:tmpl w:val="4DAC5878"/>
    <w:lvl w:ilvl="0" w:tplc="EF38DEAE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20F"/>
    <w:multiLevelType w:val="hybridMultilevel"/>
    <w:tmpl w:val="4BF6AD1A"/>
    <w:lvl w:ilvl="0" w:tplc="040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6D11780"/>
    <w:multiLevelType w:val="hybridMultilevel"/>
    <w:tmpl w:val="A2005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2D81"/>
    <w:multiLevelType w:val="hybridMultilevel"/>
    <w:tmpl w:val="7E1A1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B3C"/>
    <w:multiLevelType w:val="hybridMultilevel"/>
    <w:tmpl w:val="8D48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CF"/>
    <w:multiLevelType w:val="hybridMultilevel"/>
    <w:tmpl w:val="E91465F6"/>
    <w:lvl w:ilvl="0" w:tplc="97D430FE">
      <w:start w:val="10"/>
      <w:numFmt w:val="decimal"/>
      <w:lvlText w:val="%1"/>
      <w:lvlJc w:val="left"/>
      <w:pPr>
        <w:ind w:left="144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BB5988"/>
    <w:multiLevelType w:val="hybridMultilevel"/>
    <w:tmpl w:val="FE8A8F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5782B"/>
    <w:multiLevelType w:val="hybridMultilevel"/>
    <w:tmpl w:val="173C9C6E"/>
    <w:lvl w:ilvl="0" w:tplc="AB486BBA">
      <w:start w:val="20"/>
      <w:numFmt w:val="decimal"/>
      <w:lvlText w:val="%1"/>
      <w:lvlJc w:val="left"/>
      <w:pPr>
        <w:ind w:left="1440" w:hanging="360"/>
      </w:pPr>
      <w:rPr>
        <w:i/>
        <w:i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946413">
    <w:abstractNumId w:val="0"/>
  </w:num>
  <w:num w:numId="2" w16cid:durableId="927080236">
    <w:abstractNumId w:val="4"/>
  </w:num>
  <w:num w:numId="3" w16cid:durableId="90398728">
    <w:abstractNumId w:val="1"/>
  </w:num>
  <w:num w:numId="4" w16cid:durableId="770861219">
    <w:abstractNumId w:val="2"/>
  </w:num>
  <w:num w:numId="5" w16cid:durableId="1640646513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15783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54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026345">
    <w:abstractNumId w:val="3"/>
  </w:num>
  <w:num w:numId="9" w16cid:durableId="790242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0"/>
    <w:rsid w:val="00007A02"/>
    <w:rsid w:val="0001499D"/>
    <w:rsid w:val="000227F9"/>
    <w:rsid w:val="000251DD"/>
    <w:rsid w:val="00035B56"/>
    <w:rsid w:val="000455E3"/>
    <w:rsid w:val="0005193C"/>
    <w:rsid w:val="00086BF6"/>
    <w:rsid w:val="000A1E01"/>
    <w:rsid w:val="000A55B4"/>
    <w:rsid w:val="000B3C46"/>
    <w:rsid w:val="000C2F9A"/>
    <w:rsid w:val="000C48F5"/>
    <w:rsid w:val="000D52F6"/>
    <w:rsid w:val="000F2504"/>
    <w:rsid w:val="000F5E8B"/>
    <w:rsid w:val="0011029D"/>
    <w:rsid w:val="001248DD"/>
    <w:rsid w:val="00131026"/>
    <w:rsid w:val="0013417A"/>
    <w:rsid w:val="001743C3"/>
    <w:rsid w:val="00194E48"/>
    <w:rsid w:val="001C26B3"/>
    <w:rsid w:val="001E2873"/>
    <w:rsid w:val="002150BE"/>
    <w:rsid w:val="00222AA3"/>
    <w:rsid w:val="00236507"/>
    <w:rsid w:val="002473E2"/>
    <w:rsid w:val="00254880"/>
    <w:rsid w:val="002608F2"/>
    <w:rsid w:val="00296F3A"/>
    <w:rsid w:val="002A50D7"/>
    <w:rsid w:val="002E7826"/>
    <w:rsid w:val="00340B4C"/>
    <w:rsid w:val="0039537A"/>
    <w:rsid w:val="00397B70"/>
    <w:rsid w:val="003A4460"/>
    <w:rsid w:val="003A7022"/>
    <w:rsid w:val="003B375D"/>
    <w:rsid w:val="003C35E1"/>
    <w:rsid w:val="003C59B4"/>
    <w:rsid w:val="003D015F"/>
    <w:rsid w:val="003F7160"/>
    <w:rsid w:val="0040108E"/>
    <w:rsid w:val="00406580"/>
    <w:rsid w:val="00480818"/>
    <w:rsid w:val="00485C26"/>
    <w:rsid w:val="00497800"/>
    <w:rsid w:val="004C2EDD"/>
    <w:rsid w:val="004D2624"/>
    <w:rsid w:val="004D5F05"/>
    <w:rsid w:val="005000C7"/>
    <w:rsid w:val="00500553"/>
    <w:rsid w:val="00510188"/>
    <w:rsid w:val="00516760"/>
    <w:rsid w:val="00521F18"/>
    <w:rsid w:val="00525E40"/>
    <w:rsid w:val="00553621"/>
    <w:rsid w:val="005B4BD1"/>
    <w:rsid w:val="005D5B12"/>
    <w:rsid w:val="005E492A"/>
    <w:rsid w:val="005E5B16"/>
    <w:rsid w:val="005F335C"/>
    <w:rsid w:val="006036C1"/>
    <w:rsid w:val="006340DF"/>
    <w:rsid w:val="0066592D"/>
    <w:rsid w:val="0067237D"/>
    <w:rsid w:val="00673F82"/>
    <w:rsid w:val="00674979"/>
    <w:rsid w:val="00690331"/>
    <w:rsid w:val="006D018D"/>
    <w:rsid w:val="00711752"/>
    <w:rsid w:val="0073420D"/>
    <w:rsid w:val="00747AD7"/>
    <w:rsid w:val="0075422F"/>
    <w:rsid w:val="007633EE"/>
    <w:rsid w:val="00770435"/>
    <w:rsid w:val="007721E6"/>
    <w:rsid w:val="007845D2"/>
    <w:rsid w:val="00790617"/>
    <w:rsid w:val="007916A4"/>
    <w:rsid w:val="007C13BC"/>
    <w:rsid w:val="007D7FF7"/>
    <w:rsid w:val="008263DE"/>
    <w:rsid w:val="00831D6D"/>
    <w:rsid w:val="00833F57"/>
    <w:rsid w:val="0083452A"/>
    <w:rsid w:val="00845FB4"/>
    <w:rsid w:val="00846F30"/>
    <w:rsid w:val="00864825"/>
    <w:rsid w:val="008743F3"/>
    <w:rsid w:val="0087505D"/>
    <w:rsid w:val="00890211"/>
    <w:rsid w:val="008A43F8"/>
    <w:rsid w:val="008A6EE7"/>
    <w:rsid w:val="008B348C"/>
    <w:rsid w:val="008C62D8"/>
    <w:rsid w:val="008E099B"/>
    <w:rsid w:val="00902DF5"/>
    <w:rsid w:val="00904FEB"/>
    <w:rsid w:val="00922ECB"/>
    <w:rsid w:val="009241E8"/>
    <w:rsid w:val="00946787"/>
    <w:rsid w:val="009537EE"/>
    <w:rsid w:val="009975C2"/>
    <w:rsid w:val="009C5DD0"/>
    <w:rsid w:val="009C7010"/>
    <w:rsid w:val="009E4E3E"/>
    <w:rsid w:val="00A03B79"/>
    <w:rsid w:val="00A07B2B"/>
    <w:rsid w:val="00A24121"/>
    <w:rsid w:val="00A26DFF"/>
    <w:rsid w:val="00A33C2E"/>
    <w:rsid w:val="00A364EB"/>
    <w:rsid w:val="00AB51B5"/>
    <w:rsid w:val="00AC073A"/>
    <w:rsid w:val="00AC5B59"/>
    <w:rsid w:val="00AD32E9"/>
    <w:rsid w:val="00B00C59"/>
    <w:rsid w:val="00B02C84"/>
    <w:rsid w:val="00B02C94"/>
    <w:rsid w:val="00B03711"/>
    <w:rsid w:val="00B06480"/>
    <w:rsid w:val="00B358BE"/>
    <w:rsid w:val="00B7302D"/>
    <w:rsid w:val="00B742C0"/>
    <w:rsid w:val="00B76949"/>
    <w:rsid w:val="00B87E50"/>
    <w:rsid w:val="00B93DBF"/>
    <w:rsid w:val="00B9534B"/>
    <w:rsid w:val="00B9798A"/>
    <w:rsid w:val="00BA6CFC"/>
    <w:rsid w:val="00BB0DC5"/>
    <w:rsid w:val="00BB2954"/>
    <w:rsid w:val="00BB35F7"/>
    <w:rsid w:val="00C25818"/>
    <w:rsid w:val="00C716F5"/>
    <w:rsid w:val="00C8168D"/>
    <w:rsid w:val="00C82948"/>
    <w:rsid w:val="00C857DC"/>
    <w:rsid w:val="00C93E80"/>
    <w:rsid w:val="00C945A1"/>
    <w:rsid w:val="00C95D26"/>
    <w:rsid w:val="00CA117B"/>
    <w:rsid w:val="00CA11A4"/>
    <w:rsid w:val="00CD7459"/>
    <w:rsid w:val="00CE60CB"/>
    <w:rsid w:val="00CE6B91"/>
    <w:rsid w:val="00CF6E0B"/>
    <w:rsid w:val="00D02755"/>
    <w:rsid w:val="00D12C76"/>
    <w:rsid w:val="00D17BC5"/>
    <w:rsid w:val="00D23DB1"/>
    <w:rsid w:val="00D34618"/>
    <w:rsid w:val="00D55AAD"/>
    <w:rsid w:val="00D57DDE"/>
    <w:rsid w:val="00D67920"/>
    <w:rsid w:val="00D74C25"/>
    <w:rsid w:val="00D918CB"/>
    <w:rsid w:val="00DA6E5A"/>
    <w:rsid w:val="00DB1CAF"/>
    <w:rsid w:val="00DC73BE"/>
    <w:rsid w:val="00DE6EF3"/>
    <w:rsid w:val="00E03A26"/>
    <w:rsid w:val="00E07AF3"/>
    <w:rsid w:val="00E1155F"/>
    <w:rsid w:val="00E25523"/>
    <w:rsid w:val="00E6078B"/>
    <w:rsid w:val="00E63BC0"/>
    <w:rsid w:val="00E65ECC"/>
    <w:rsid w:val="00E662F0"/>
    <w:rsid w:val="00E705AF"/>
    <w:rsid w:val="00E827BD"/>
    <w:rsid w:val="00E82D3C"/>
    <w:rsid w:val="00E9729A"/>
    <w:rsid w:val="00EA2DD7"/>
    <w:rsid w:val="00EA5A16"/>
    <w:rsid w:val="00EC3CC5"/>
    <w:rsid w:val="00EE5042"/>
    <w:rsid w:val="00EE5F78"/>
    <w:rsid w:val="00EF1CF3"/>
    <w:rsid w:val="00F0227D"/>
    <w:rsid w:val="00F0296B"/>
    <w:rsid w:val="00F1355F"/>
    <w:rsid w:val="00F17EFE"/>
    <w:rsid w:val="00F221A8"/>
    <w:rsid w:val="00F31207"/>
    <w:rsid w:val="00F31D4A"/>
    <w:rsid w:val="00F66F6F"/>
    <w:rsid w:val="00F843D0"/>
    <w:rsid w:val="00F84F96"/>
    <w:rsid w:val="00F922B4"/>
    <w:rsid w:val="00FA4949"/>
    <w:rsid w:val="00FA5063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6B2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93C"/>
    <w:pPr>
      <w:spacing w:after="0" w:line="240" w:lineRule="auto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342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42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2AA3"/>
    <w:pPr>
      <w:widowControl w:val="0"/>
      <w:suppressAutoHyphens/>
      <w:ind w:left="720"/>
      <w:contextualSpacing/>
    </w:pPr>
    <w:rPr>
      <w:rFonts w:ascii="Liberation Serif" w:eastAsia="SimSun" w:hAnsi="Liberation Serif" w:cs="Mangal"/>
      <w:lang w:eastAsia="zh-CN" w:bidi="hi-IN"/>
    </w:rPr>
  </w:style>
  <w:style w:type="table" w:styleId="Mkatabulky">
    <w:name w:val="Table Grid"/>
    <w:basedOn w:val="Normlntabulka"/>
    <w:rsid w:val="0022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485C2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85C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5C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C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06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nodstavec">
    <w:name w:val="Běžný odstavec"/>
    <w:basedOn w:val="Normln"/>
    <w:link w:val="BnodstavecChar"/>
    <w:qFormat/>
    <w:rsid w:val="00E1155F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BnodstavecChar">
    <w:name w:val="Běžný odstavec Char"/>
    <w:basedOn w:val="Standardnpsmoodstavce"/>
    <w:link w:val="Bnodstavec"/>
    <w:rsid w:val="00E1155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E20A-DF03-4506-A4DC-F6761EB3818E}"/>
</file>

<file path=customXml/itemProps2.xml><?xml version="1.0" encoding="utf-8"?>
<ds:datastoreItem xmlns:ds="http://schemas.openxmlformats.org/officeDocument/2006/customXml" ds:itemID="{8F3178D1-B7FB-4310-81DE-7B208BFBFCA2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7326E4D4-D608-46A9-ACF5-860D7B9CA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8DB70-7604-4571-A219-77BC1813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2025-07-25T07:48:00Z</dcterms:created>
  <dcterms:modified xsi:type="dcterms:W3CDTF">2025-07-28T18:06:00Z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