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228C2A32" w:rsidR="003860CD" w:rsidRDefault="003860CD" w:rsidP="00EE1C54">
      <w:pPr>
        <w:spacing w:line="276" w:lineRule="auto"/>
        <w:jc w:val="both"/>
        <w:rPr>
          <w:b/>
          <w:bCs/>
          <w:iCs/>
          <w:sz w:val="22"/>
          <w:szCs w:val="22"/>
        </w:rPr>
      </w:pPr>
    </w:p>
    <w:p w14:paraId="2D7BAEE4" w14:textId="77777777" w:rsidR="00035E10" w:rsidRPr="00EE1C54" w:rsidRDefault="00035E10" w:rsidP="00EE1C54">
      <w:pPr>
        <w:spacing w:line="276" w:lineRule="auto"/>
        <w:jc w:val="both"/>
        <w:rPr>
          <w:b/>
          <w:bCs/>
          <w:iCs/>
          <w:sz w:val="22"/>
          <w:szCs w:val="22"/>
        </w:rPr>
      </w:pPr>
    </w:p>
    <w:p w14:paraId="1AE4FD6F" w14:textId="64FEC11C" w:rsidR="00415806" w:rsidRPr="003D4306" w:rsidRDefault="008024B4" w:rsidP="00F67227">
      <w:pPr>
        <w:numPr>
          <w:ilvl w:val="0"/>
          <w:numId w:val="1"/>
        </w:numPr>
        <w:rPr>
          <w:b/>
          <w:sz w:val="28"/>
          <w:u w:val="single"/>
        </w:rPr>
      </w:pPr>
      <w:r w:rsidRPr="003D4306">
        <w:rPr>
          <w:b/>
          <w:sz w:val="28"/>
          <w:u w:val="single"/>
        </w:rPr>
        <w:t xml:space="preserve"> </w:t>
      </w:r>
      <w:r w:rsidR="00415806"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3FD67E9B" w14:textId="77777777" w:rsidR="005B185C" w:rsidRPr="00F9674E" w:rsidRDefault="005B185C" w:rsidP="005B185C">
      <w:pPr>
        <w:jc w:val="both"/>
        <w:rPr>
          <w:b/>
          <w:sz w:val="22"/>
          <w:szCs w:val="22"/>
        </w:rPr>
      </w:pPr>
    </w:p>
    <w:p w14:paraId="6AC3A900" w14:textId="72522D9C" w:rsidR="00C86F1B" w:rsidRDefault="005B185C" w:rsidP="00F9674E">
      <w:pPr>
        <w:spacing w:line="276" w:lineRule="auto"/>
        <w:jc w:val="center"/>
        <w:rPr>
          <w:b/>
        </w:rPr>
      </w:pPr>
      <w:r w:rsidRPr="005B185C">
        <w:rPr>
          <w:b/>
          <w:sz w:val="28"/>
          <w:szCs w:val="28"/>
        </w:rPr>
        <w:t xml:space="preserve"> </w:t>
      </w:r>
      <w:r w:rsidR="005377AC">
        <w:rPr>
          <w:b/>
          <w:sz w:val="28"/>
          <w:szCs w:val="28"/>
        </w:rPr>
        <w:t>„</w:t>
      </w:r>
      <w:r w:rsidR="005377AC">
        <w:rPr>
          <w:b/>
        </w:rPr>
        <w:t>Stavební úpravy vnitřních prostor bytové jednotky pro DOZP Vilík</w:t>
      </w:r>
      <w:r w:rsidR="00603B15">
        <w:rPr>
          <w:b/>
        </w:rPr>
        <w:t xml:space="preserve"> – výkon TDS</w:t>
      </w:r>
      <w:r w:rsidR="005377AC">
        <w:rPr>
          <w:b/>
        </w:rPr>
        <w:t xml:space="preserve"> v rámci stavebních úprav“</w:t>
      </w:r>
    </w:p>
    <w:p w14:paraId="2730B783" w14:textId="77777777" w:rsidR="00C6164C" w:rsidRPr="00C6164C" w:rsidRDefault="00C6164C" w:rsidP="00794E18">
      <w:pPr>
        <w:rPr>
          <w:color w:val="FF0000"/>
          <w:sz w:val="28"/>
          <w:szCs w:val="28"/>
        </w:rPr>
      </w:pPr>
    </w:p>
    <w:p w14:paraId="40A136DC" w14:textId="0A1D320E" w:rsidR="00217B48" w:rsidRPr="00217B48" w:rsidRDefault="00217B48" w:rsidP="00F67227">
      <w:pPr>
        <w:numPr>
          <w:ilvl w:val="0"/>
          <w:numId w:val="1"/>
        </w:numPr>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5731E765" w14:textId="4C3F05C9" w:rsidR="00217B48" w:rsidRPr="00217B48" w:rsidRDefault="00217B48" w:rsidP="00F9674E">
      <w:pPr>
        <w:spacing w:line="276" w:lineRule="auto"/>
        <w:rPr>
          <w:sz w:val="22"/>
          <w:szCs w:val="22"/>
        </w:rPr>
      </w:pPr>
      <w:r w:rsidRPr="00217B48">
        <w:rPr>
          <w:sz w:val="22"/>
          <w:szCs w:val="22"/>
        </w:rPr>
        <w:t xml:space="preserve">Druh veřejné zakázky: </w:t>
      </w:r>
      <w:r w:rsidR="002B6598">
        <w:rPr>
          <w:sz w:val="22"/>
          <w:szCs w:val="22"/>
        </w:rPr>
        <w:tab/>
      </w:r>
      <w:r w:rsidR="002B6598">
        <w:rPr>
          <w:sz w:val="22"/>
          <w:szCs w:val="22"/>
        </w:rPr>
        <w:tab/>
      </w:r>
      <w:r w:rsidR="002B6598">
        <w:rPr>
          <w:sz w:val="22"/>
          <w:szCs w:val="22"/>
        </w:rPr>
        <w:tab/>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6F3B3F5A" w14:textId="117E8FE4" w:rsidR="00BE3B31" w:rsidRDefault="00BE3B31" w:rsidP="00F9674E">
      <w:pPr>
        <w:spacing w:line="276" w:lineRule="auto"/>
        <w:jc w:val="both"/>
        <w:rPr>
          <w:sz w:val="22"/>
          <w:szCs w:val="22"/>
        </w:rPr>
      </w:pPr>
      <w:r>
        <w:rPr>
          <w:sz w:val="22"/>
          <w:szCs w:val="22"/>
        </w:rPr>
        <w:t xml:space="preserve">Předpokládaná hodnota celé veřejné zakázky: </w:t>
      </w:r>
      <w:r>
        <w:rPr>
          <w:sz w:val="22"/>
          <w:szCs w:val="22"/>
        </w:rPr>
        <w:tab/>
      </w:r>
      <w:r w:rsidR="005377AC">
        <w:rPr>
          <w:sz w:val="22"/>
          <w:szCs w:val="22"/>
        </w:rPr>
        <w:t>40 000</w:t>
      </w:r>
      <w:r>
        <w:rPr>
          <w:sz w:val="22"/>
          <w:szCs w:val="22"/>
        </w:rPr>
        <w:t xml:space="preserve"> Kč bez DPH</w:t>
      </w:r>
    </w:p>
    <w:p w14:paraId="4ECA9A93" w14:textId="5A8E91F1" w:rsidR="008402F8" w:rsidRPr="00BA039C" w:rsidRDefault="008402F8" w:rsidP="008402F8">
      <w:pPr>
        <w:spacing w:line="276" w:lineRule="auto"/>
        <w:rPr>
          <w:sz w:val="22"/>
          <w:szCs w:val="22"/>
        </w:rPr>
      </w:pPr>
      <w:r w:rsidRPr="00BA039C">
        <w:rPr>
          <w:sz w:val="22"/>
          <w:szCs w:val="22"/>
        </w:rPr>
        <w:t xml:space="preserve">Kategorie DNS č. </w:t>
      </w:r>
      <w:r w:rsidR="00F2050E">
        <w:rPr>
          <w:sz w:val="22"/>
          <w:szCs w:val="22"/>
        </w:rPr>
        <w:t>1</w:t>
      </w:r>
      <w:r w:rsidRPr="00BA039C">
        <w:rPr>
          <w:sz w:val="22"/>
          <w:szCs w:val="22"/>
        </w:rPr>
        <w:t xml:space="preserve">: </w:t>
      </w:r>
      <w:r>
        <w:rPr>
          <w:sz w:val="22"/>
          <w:szCs w:val="22"/>
        </w:rPr>
        <w:tab/>
      </w:r>
      <w:r>
        <w:rPr>
          <w:sz w:val="22"/>
          <w:szCs w:val="22"/>
        </w:rPr>
        <w:tab/>
      </w:r>
      <w:r>
        <w:rPr>
          <w:sz w:val="22"/>
          <w:szCs w:val="22"/>
        </w:rPr>
        <w:tab/>
      </w:r>
      <w:r>
        <w:rPr>
          <w:sz w:val="22"/>
          <w:szCs w:val="22"/>
        </w:rPr>
        <w:tab/>
      </w:r>
      <w:r w:rsidR="00F2050E">
        <w:rPr>
          <w:sz w:val="22"/>
          <w:szCs w:val="22"/>
        </w:rPr>
        <w:t>Technický dozor stavebníka pro pozemní stavby</w:t>
      </w:r>
    </w:p>
    <w:p w14:paraId="3A9C7016" w14:textId="77777777" w:rsidR="00217B48" w:rsidRPr="00217B48" w:rsidRDefault="00217B48" w:rsidP="00217B48">
      <w:pPr>
        <w:rPr>
          <w:color w:val="FF0000"/>
          <w:sz w:val="28"/>
          <w:szCs w:val="28"/>
        </w:rPr>
      </w:pPr>
    </w:p>
    <w:p w14:paraId="2A7D32B2" w14:textId="70990D34" w:rsidR="00700A10" w:rsidRPr="003D4306" w:rsidRDefault="004A18AB" w:rsidP="00F67227">
      <w:pPr>
        <w:numPr>
          <w:ilvl w:val="0"/>
          <w:numId w:val="1"/>
        </w:numPr>
        <w:rPr>
          <w:b/>
          <w:sz w:val="28"/>
          <w:u w:val="single"/>
        </w:rPr>
      </w:pPr>
      <w:r w:rsidRPr="003D4306">
        <w:rPr>
          <w:b/>
          <w:sz w:val="28"/>
          <w:u w:val="single"/>
        </w:rPr>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519989BA" w14:textId="46F75EF3" w:rsidR="00990E34" w:rsidRDefault="00365015" w:rsidP="00990E34">
      <w:pPr>
        <w:pStyle w:val="Odstavecseseznamem"/>
        <w:spacing w:line="252" w:lineRule="auto"/>
        <w:ind w:left="0"/>
        <w:jc w:val="both"/>
        <w:rPr>
          <w:sz w:val="22"/>
          <w:szCs w:val="22"/>
        </w:rPr>
      </w:pPr>
      <w:r w:rsidRPr="002C1B16">
        <w:rPr>
          <w:sz w:val="22"/>
          <w:szCs w:val="22"/>
        </w:rPr>
        <w:t xml:space="preserve">Zajištění činnosti technického dozoru stavebníka (dále jen „TDS“) v souladu s § 161 odst. 2 zákona č. 283/2021 Sb., stavební zákon, ve znění pozdějších předpisů, </w:t>
      </w:r>
      <w:r w:rsidR="00047920">
        <w:rPr>
          <w:sz w:val="22"/>
          <w:szCs w:val="22"/>
        </w:rPr>
        <w:t>po dobu realizace stavby</w:t>
      </w:r>
      <w:r w:rsidR="00D31AF6">
        <w:rPr>
          <w:sz w:val="22"/>
          <w:szCs w:val="22"/>
        </w:rPr>
        <w:t xml:space="preserve"> „</w:t>
      </w:r>
      <w:r w:rsidR="00BD0EF9">
        <w:rPr>
          <w:sz w:val="22"/>
          <w:szCs w:val="22"/>
        </w:rPr>
        <w:t>S</w:t>
      </w:r>
      <w:r w:rsidR="005377AC" w:rsidRPr="005377AC">
        <w:rPr>
          <w:sz w:val="22"/>
          <w:szCs w:val="22"/>
        </w:rPr>
        <w:t>tavební úpravy vnitřních prostor bytové jednotky pro DOZP Vilík</w:t>
      </w:r>
      <w:r w:rsidR="00D31AF6">
        <w:rPr>
          <w:sz w:val="22"/>
          <w:szCs w:val="22"/>
        </w:rPr>
        <w:t xml:space="preserve">“ a spolupráce ve formě konzultací při odstraňování případných reklamních vad v rámci záruční lhůty </w:t>
      </w:r>
      <w:r w:rsidR="00BE3B31" w:rsidRPr="00274B66">
        <w:rPr>
          <w:sz w:val="22"/>
          <w:szCs w:val="22"/>
        </w:rPr>
        <w:t>v souladu s § 161 odst. 2 a následně zákona č. 283/2021 Sb., stavební zákon, ve znění pozdějších předpisů při realizaci stavby</w:t>
      </w:r>
      <w:r w:rsidR="00DB03DD">
        <w:rPr>
          <w:sz w:val="22"/>
          <w:szCs w:val="22"/>
        </w:rPr>
        <w:t xml:space="preserve">. </w:t>
      </w:r>
      <w:r w:rsidR="007D1A62">
        <w:rPr>
          <w:sz w:val="22"/>
          <w:szCs w:val="22"/>
        </w:rPr>
        <w:t>Blíže viz návrh příkazní smlouvy (příloha č. 1).</w:t>
      </w:r>
      <w:r w:rsidR="00990E34" w:rsidRPr="00990E34">
        <w:rPr>
          <w:sz w:val="22"/>
          <w:szCs w:val="22"/>
        </w:rPr>
        <w:t xml:space="preserve"> </w:t>
      </w:r>
    </w:p>
    <w:p w14:paraId="1B026912" w14:textId="77777777" w:rsidR="00990E34" w:rsidRDefault="00990E34" w:rsidP="00990E34">
      <w:pPr>
        <w:pStyle w:val="Odstavecseseznamem"/>
        <w:spacing w:line="252" w:lineRule="auto"/>
        <w:ind w:left="0"/>
        <w:jc w:val="both"/>
        <w:rPr>
          <w:sz w:val="22"/>
          <w:szCs w:val="22"/>
        </w:rPr>
      </w:pPr>
    </w:p>
    <w:p w14:paraId="032A3D2D" w14:textId="004FF8C9" w:rsidR="00990E34" w:rsidRPr="005377AC" w:rsidRDefault="00990E34" w:rsidP="00990E34">
      <w:pPr>
        <w:spacing w:after="120" w:line="276" w:lineRule="auto"/>
        <w:jc w:val="both"/>
        <w:rPr>
          <w:sz w:val="22"/>
          <w:szCs w:val="22"/>
        </w:rPr>
      </w:pPr>
      <w:r w:rsidRPr="005377AC">
        <w:rPr>
          <w:sz w:val="22"/>
          <w:szCs w:val="22"/>
        </w:rPr>
        <w:t xml:space="preserve">Předmětem veřejné zakázky jsou stavební úpravy bytové jednotky. Stavební úpravy jsou bez zásahu do nosných konstrukcí ani nemění celkový vzhled budovy či její využití. Jedná se především o výměnu podlahových krytin, snížení podhledů, vytvoření SDK </w:t>
      </w:r>
      <w:proofErr w:type="spellStart"/>
      <w:r w:rsidRPr="005377AC">
        <w:rPr>
          <w:sz w:val="22"/>
          <w:szCs w:val="22"/>
        </w:rPr>
        <w:t>předstěn</w:t>
      </w:r>
      <w:proofErr w:type="spellEnd"/>
      <w:r w:rsidRPr="005377AC">
        <w:rPr>
          <w:sz w:val="22"/>
          <w:szCs w:val="22"/>
        </w:rPr>
        <w:t>, výměna rozvodů ÚT a otopných těles, nové rozvody elektroinstalace, výmaleb včetně vyspravení povrchů všech místností, výměny dveřních výplní.</w:t>
      </w:r>
    </w:p>
    <w:p w14:paraId="095BCC02" w14:textId="6BF33C06" w:rsidR="00BD0EF9" w:rsidRDefault="00BD0EF9" w:rsidP="00896FD9">
      <w:pPr>
        <w:spacing w:after="120" w:line="276" w:lineRule="auto"/>
        <w:jc w:val="both"/>
        <w:rPr>
          <w:sz w:val="22"/>
          <w:szCs w:val="22"/>
        </w:rPr>
      </w:pPr>
      <w:bookmarkStart w:id="0" w:name="_Hlk184632624"/>
      <w:r w:rsidRPr="000109F2">
        <w:rPr>
          <w:sz w:val="22"/>
          <w:szCs w:val="22"/>
        </w:rPr>
        <w:lastRenderedPageBreak/>
        <w:t xml:space="preserve">Veřejná zakázka je realizována v rámci projektu Karlovarského kraje „Nákup bytové jednotky včetně vybavení pro DOZP Vilík – DOZP SOKOLÍK v Sokolově, </w:t>
      </w:r>
      <w:proofErr w:type="spellStart"/>
      <w:r w:rsidRPr="000109F2">
        <w:rPr>
          <w:sz w:val="22"/>
          <w:szCs w:val="22"/>
        </w:rPr>
        <w:t>p.o</w:t>
      </w:r>
      <w:proofErr w:type="spellEnd"/>
      <w:r w:rsidRPr="000109F2">
        <w:rPr>
          <w:sz w:val="22"/>
          <w:szCs w:val="22"/>
        </w:rPr>
        <w:t>.“, registrační číslo: CZ.31.6.0/0.0/0.0/24_114/0011391 (dále jen „projekt“), který je financován Evropskou unií z výzvy č. 31_24_114 (Rozvoj a modernizace služeb komunitního typu pro ohrožené děti – bytové jednotky) v rámci Národního plánu obnovy</w:t>
      </w:r>
      <w:r w:rsidR="00990E34" w:rsidRPr="000109F2">
        <w:rPr>
          <w:sz w:val="22"/>
          <w:szCs w:val="22"/>
        </w:rPr>
        <w:t>.</w:t>
      </w:r>
    </w:p>
    <w:bookmarkEnd w:id="0"/>
    <w:p w14:paraId="4F8CA4BC" w14:textId="77777777" w:rsidR="001F3351" w:rsidRPr="00896FD9" w:rsidRDefault="001F3351" w:rsidP="001F3351">
      <w:pPr>
        <w:spacing w:line="276" w:lineRule="auto"/>
        <w:jc w:val="both"/>
        <w:rPr>
          <w:sz w:val="22"/>
          <w:szCs w:val="22"/>
        </w:rPr>
      </w:pPr>
    </w:p>
    <w:p w14:paraId="6FC72602" w14:textId="67B13C91" w:rsidR="00D31233" w:rsidRDefault="00D31233" w:rsidP="00F967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lang w:val="cs-CZ"/>
        </w:rPr>
      </w:pPr>
      <w:r w:rsidRPr="00D31233">
        <w:rPr>
          <w:rFonts w:ascii="Times New Roman" w:hAnsi="Times New Roman" w:cs="Times New Roman"/>
          <w:sz w:val="22"/>
          <w:szCs w:val="22"/>
          <w:lang w:val="cs-CZ"/>
        </w:rPr>
        <w:t xml:space="preserve">Zadavatel požaduje 100% zastupitelnost </w:t>
      </w:r>
      <w:r w:rsidR="00FB48F3">
        <w:rPr>
          <w:rFonts w:ascii="Times New Roman" w:hAnsi="Times New Roman" w:cs="Times New Roman"/>
          <w:sz w:val="22"/>
          <w:szCs w:val="22"/>
          <w:lang w:val="cs-CZ"/>
        </w:rPr>
        <w:t>TDS</w:t>
      </w:r>
      <w:r w:rsidRPr="00D31233">
        <w:rPr>
          <w:rFonts w:ascii="Times New Roman" w:hAnsi="Times New Roman" w:cs="Times New Roman"/>
          <w:sz w:val="22"/>
          <w:szCs w:val="22"/>
          <w:lang w:val="cs-CZ"/>
        </w:rPr>
        <w:t xml:space="preserve"> (</w:t>
      </w:r>
      <w:r w:rsidR="00DF4164" w:rsidRPr="00DF4164">
        <w:rPr>
          <w:rFonts w:ascii="Times New Roman" w:hAnsi="Times New Roman" w:cs="Times New Roman"/>
          <w:sz w:val="22"/>
          <w:szCs w:val="22"/>
          <w:lang w:val="cs-CZ"/>
        </w:rPr>
        <w:t>osobou disponující nezbytnou autorizací</w:t>
      </w:r>
      <w:r w:rsidRPr="00D31233">
        <w:rPr>
          <w:rFonts w:ascii="Times New Roman" w:hAnsi="Times New Roman" w:cs="Times New Roman"/>
          <w:sz w:val="22"/>
          <w:szCs w:val="22"/>
          <w:lang w:val="cs-CZ"/>
        </w:rPr>
        <w:t>) v</w:t>
      </w:r>
      <w:r w:rsidR="00226FDA">
        <w:rPr>
          <w:rFonts w:ascii="Times New Roman" w:hAnsi="Times New Roman" w:cs="Times New Roman"/>
          <w:sz w:val="22"/>
          <w:szCs w:val="22"/>
          <w:lang w:val="cs-CZ"/>
        </w:rPr>
        <w:t> </w:t>
      </w:r>
      <w:r w:rsidRPr="00D31233">
        <w:rPr>
          <w:rFonts w:ascii="Times New Roman" w:hAnsi="Times New Roman" w:cs="Times New Roman"/>
          <w:sz w:val="22"/>
          <w:szCs w:val="22"/>
          <w:lang w:val="cs-CZ"/>
        </w:rPr>
        <w:t xml:space="preserve">případě </w:t>
      </w:r>
      <w:r w:rsidR="00DF4164" w:rsidRPr="00DF4164">
        <w:rPr>
          <w:rFonts w:ascii="Times New Roman" w:hAnsi="Times New Roman" w:cs="Times New Roman"/>
          <w:sz w:val="22"/>
          <w:szCs w:val="22"/>
          <w:lang w:val="cs-CZ"/>
        </w:rPr>
        <w:t xml:space="preserve">krátkodobé nepřítomnosti (max. po dobu 14 po sobě jdoucích dnů), a to </w:t>
      </w:r>
      <w:r w:rsidRPr="00D31233">
        <w:rPr>
          <w:rFonts w:ascii="Times New Roman" w:hAnsi="Times New Roman" w:cs="Times New Roman"/>
          <w:sz w:val="22"/>
          <w:szCs w:val="22"/>
          <w:lang w:val="cs-CZ"/>
        </w:rPr>
        <w:t>z</w:t>
      </w:r>
      <w:r w:rsidR="00FB48F3">
        <w:rPr>
          <w:rFonts w:ascii="Times New Roman" w:hAnsi="Times New Roman" w:cs="Times New Roman"/>
          <w:sz w:val="22"/>
          <w:szCs w:val="22"/>
          <w:lang w:val="cs-CZ"/>
        </w:rPr>
        <w:t> </w:t>
      </w:r>
      <w:r w:rsidRPr="00D31233">
        <w:rPr>
          <w:rFonts w:ascii="Times New Roman" w:hAnsi="Times New Roman" w:cs="Times New Roman"/>
          <w:sz w:val="22"/>
          <w:szCs w:val="22"/>
          <w:lang w:val="cs-CZ"/>
        </w:rPr>
        <w:t>důvodu nemoci, dovolené a dalších případných překážek.</w:t>
      </w:r>
    </w:p>
    <w:p w14:paraId="568D7180" w14:textId="0B48174A" w:rsidR="00C76C3A" w:rsidRDefault="00C76C3A" w:rsidP="00F967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lang w:val="cs-CZ"/>
        </w:rPr>
      </w:pPr>
    </w:p>
    <w:p w14:paraId="43A249B8" w14:textId="5527EA48" w:rsidR="00F660EC" w:rsidRPr="00F660EC" w:rsidRDefault="0091409F" w:rsidP="00F660EC">
      <w:pPr>
        <w:spacing w:after="120" w:line="276" w:lineRule="auto"/>
        <w:jc w:val="both"/>
        <w:rPr>
          <w:sz w:val="22"/>
          <w:szCs w:val="22"/>
        </w:rPr>
      </w:pPr>
      <w:bookmarkStart w:id="1" w:name="_Hlk194051410"/>
      <w:r>
        <w:rPr>
          <w:sz w:val="22"/>
          <w:szCs w:val="22"/>
        </w:rPr>
        <w:t>Stavba bude provedena</w:t>
      </w:r>
      <w:r w:rsidR="00F660EC" w:rsidRPr="00F660EC">
        <w:rPr>
          <w:sz w:val="22"/>
          <w:szCs w:val="22"/>
        </w:rPr>
        <w:t xml:space="preserve"> v rozsahu specifikovaném projektovou dokumentací pro provádění stavby „</w:t>
      </w:r>
      <w:r w:rsidR="00BD0EF9" w:rsidRPr="00BD0EF9">
        <w:rPr>
          <w:sz w:val="22"/>
          <w:szCs w:val="22"/>
        </w:rPr>
        <w:t>Stavební úpravy vnitřních prostor bytové jednotky pro DOZP Vilík</w:t>
      </w:r>
      <w:r w:rsidR="00F660EC" w:rsidRPr="00F660EC">
        <w:rPr>
          <w:sz w:val="22"/>
          <w:szCs w:val="22"/>
        </w:rPr>
        <w:t>“ zpracovan</w:t>
      </w:r>
      <w:r w:rsidR="00BD0EF9">
        <w:rPr>
          <w:sz w:val="22"/>
          <w:szCs w:val="22"/>
        </w:rPr>
        <w:t>á</w:t>
      </w:r>
      <w:r w:rsidR="00F660EC" w:rsidRPr="00F660EC">
        <w:rPr>
          <w:sz w:val="22"/>
          <w:szCs w:val="22"/>
        </w:rPr>
        <w:t xml:space="preserve"> </w:t>
      </w:r>
      <w:r w:rsidR="00BD0EF9" w:rsidRPr="00BD0EF9">
        <w:rPr>
          <w:sz w:val="22"/>
          <w:szCs w:val="22"/>
        </w:rPr>
        <w:t>Ing. arch. Václavem Zůnou, Nemocniční 49, 35201 Aš, IČO: 72202327</w:t>
      </w:r>
      <w:r w:rsidR="00F660EC" w:rsidRPr="00F660EC">
        <w:rPr>
          <w:sz w:val="22"/>
          <w:szCs w:val="22"/>
        </w:rPr>
        <w:t>.</w:t>
      </w:r>
    </w:p>
    <w:bookmarkEnd w:id="1"/>
    <w:p w14:paraId="59BDFC5D" w14:textId="23BFACDB" w:rsidR="00226FDA" w:rsidRDefault="00226FDA" w:rsidP="00F9674E">
      <w:pPr>
        <w:spacing w:line="276" w:lineRule="auto"/>
        <w:jc w:val="both"/>
        <w:rPr>
          <w:sz w:val="22"/>
          <w:szCs w:val="22"/>
        </w:rPr>
      </w:pPr>
      <w:r w:rsidRPr="00226FDA">
        <w:rPr>
          <w:sz w:val="22"/>
          <w:szCs w:val="22"/>
        </w:rPr>
        <w:t>Realizace předmětu plnění bude probíhat v souladu s pokyny zadavatele a dle Příkazní smlouvy, dále dle obecně závazných právních předpisů, ČSN, ostatních norem a metodik upravujících předmět plnění.</w:t>
      </w:r>
    </w:p>
    <w:p w14:paraId="5FD159CA" w14:textId="77777777" w:rsidR="000D307D" w:rsidRDefault="000D307D" w:rsidP="00F9674E">
      <w:pPr>
        <w:pStyle w:val="Titulnlist"/>
        <w:tabs>
          <w:tab w:val="left" w:pos="1440"/>
        </w:tabs>
        <w:spacing w:line="276" w:lineRule="auto"/>
        <w:ind w:right="-35"/>
        <w:jc w:val="both"/>
        <w:rPr>
          <w:rFonts w:ascii="Times New Roman" w:hAnsi="Times New Roman"/>
          <w:sz w:val="22"/>
          <w:szCs w:val="22"/>
        </w:rPr>
      </w:pPr>
    </w:p>
    <w:p w14:paraId="075DB9CE" w14:textId="5F5C9A05" w:rsidR="00FE63C0" w:rsidRPr="00A66707" w:rsidRDefault="00FE63C0" w:rsidP="00F9674E">
      <w:pPr>
        <w:spacing w:line="276" w:lineRule="auto"/>
        <w:jc w:val="both"/>
        <w:rPr>
          <w:sz w:val="22"/>
          <w:szCs w:val="22"/>
        </w:rPr>
      </w:pPr>
      <w:r w:rsidRPr="00A66707">
        <w:rPr>
          <w:sz w:val="22"/>
          <w:szCs w:val="22"/>
        </w:rPr>
        <w:t>Předpoklá</w:t>
      </w:r>
      <w:r w:rsidRPr="00A66707">
        <w:rPr>
          <w:sz w:val="20"/>
          <w:szCs w:val="22"/>
        </w:rPr>
        <w:t xml:space="preserve">daná </w:t>
      </w:r>
      <w:r w:rsidRPr="00A66707">
        <w:rPr>
          <w:sz w:val="22"/>
          <w:szCs w:val="22"/>
        </w:rPr>
        <w:t xml:space="preserve">hodnota </w:t>
      </w:r>
      <w:r w:rsidRPr="000109F2">
        <w:rPr>
          <w:sz w:val="22"/>
          <w:szCs w:val="22"/>
        </w:rPr>
        <w:t>investice v rámci veřejné</w:t>
      </w:r>
      <w:r w:rsidRPr="00A66707">
        <w:rPr>
          <w:sz w:val="20"/>
          <w:szCs w:val="22"/>
        </w:rPr>
        <w:t xml:space="preserve"> </w:t>
      </w:r>
      <w:r w:rsidRPr="00933416">
        <w:rPr>
          <w:sz w:val="22"/>
          <w:szCs w:val="22"/>
        </w:rPr>
        <w:t xml:space="preserve">zakázky </w:t>
      </w:r>
      <w:bookmarkStart w:id="2" w:name="_Hlk170032906"/>
      <w:r w:rsidR="00900F6E" w:rsidRPr="00933416">
        <w:rPr>
          <w:sz w:val="22"/>
          <w:szCs w:val="22"/>
        </w:rPr>
        <w:t>„</w:t>
      </w:r>
      <w:bookmarkEnd w:id="2"/>
      <w:r w:rsidR="00AD5089" w:rsidRPr="00933416">
        <w:rPr>
          <w:sz w:val="22"/>
          <w:szCs w:val="22"/>
        </w:rPr>
        <w:t>Stavební úpravy vnitřních prostor bytové jednotky pro DOZP Vilík</w:t>
      </w:r>
      <w:r w:rsidR="00900F6E" w:rsidRPr="00933416">
        <w:rPr>
          <w:sz w:val="22"/>
          <w:szCs w:val="22"/>
        </w:rPr>
        <w:t>“</w:t>
      </w:r>
      <w:r w:rsidRPr="00A66707">
        <w:rPr>
          <w:sz w:val="22"/>
          <w:szCs w:val="22"/>
        </w:rPr>
        <w:t xml:space="preserve"> je </w:t>
      </w:r>
      <w:r w:rsidR="00933416" w:rsidRPr="00A132FC">
        <w:rPr>
          <w:sz w:val="22"/>
          <w:szCs w:val="22"/>
        </w:rPr>
        <w:t>1</w:t>
      </w:r>
      <w:r w:rsidR="00933416">
        <w:rPr>
          <w:sz w:val="22"/>
          <w:szCs w:val="22"/>
        </w:rPr>
        <w:t> </w:t>
      </w:r>
      <w:r w:rsidR="00933416" w:rsidRPr="00A132FC">
        <w:rPr>
          <w:sz w:val="22"/>
          <w:szCs w:val="22"/>
        </w:rPr>
        <w:t>557</w:t>
      </w:r>
      <w:r w:rsidR="00933416">
        <w:rPr>
          <w:sz w:val="22"/>
          <w:szCs w:val="22"/>
        </w:rPr>
        <w:t xml:space="preserve"> </w:t>
      </w:r>
      <w:r w:rsidR="00933416" w:rsidRPr="00A132FC">
        <w:rPr>
          <w:sz w:val="22"/>
          <w:szCs w:val="22"/>
        </w:rPr>
        <w:t>738</w:t>
      </w:r>
      <w:r w:rsidR="009214B9" w:rsidRPr="00A66707">
        <w:rPr>
          <w:sz w:val="22"/>
          <w:szCs w:val="22"/>
        </w:rPr>
        <w:t xml:space="preserve"> </w:t>
      </w:r>
      <w:r w:rsidRPr="00A66707">
        <w:rPr>
          <w:sz w:val="22"/>
          <w:szCs w:val="22"/>
        </w:rPr>
        <w:t>Kč bez DPH.</w:t>
      </w:r>
    </w:p>
    <w:p w14:paraId="5AB69826" w14:textId="77777777" w:rsidR="00D31233" w:rsidRPr="0044306E" w:rsidRDefault="00D31233" w:rsidP="00F9674E">
      <w:pPr>
        <w:spacing w:line="276" w:lineRule="auto"/>
        <w:jc w:val="both"/>
        <w:rPr>
          <w:sz w:val="22"/>
          <w:szCs w:val="22"/>
        </w:rPr>
      </w:pPr>
    </w:p>
    <w:p w14:paraId="684AF0C4" w14:textId="502F85F9" w:rsidR="00637663" w:rsidRDefault="00F257E4" w:rsidP="00F9674E">
      <w:pPr>
        <w:spacing w:line="276" w:lineRule="auto"/>
        <w:jc w:val="both"/>
        <w:rPr>
          <w:sz w:val="22"/>
          <w:szCs w:val="22"/>
        </w:rPr>
      </w:pPr>
      <w:r w:rsidRPr="0044306E">
        <w:rPr>
          <w:sz w:val="22"/>
          <w:szCs w:val="22"/>
        </w:rPr>
        <w:t>Na výběr zhotovitele stavebních prací probíhá zadávací řízení s</w:t>
      </w:r>
      <w:r w:rsidR="005A6991">
        <w:rPr>
          <w:sz w:val="22"/>
          <w:szCs w:val="22"/>
        </w:rPr>
        <w:t> </w:t>
      </w:r>
      <w:r w:rsidRPr="0044306E">
        <w:rPr>
          <w:sz w:val="22"/>
          <w:szCs w:val="22"/>
        </w:rPr>
        <w:t>názvem</w:t>
      </w:r>
      <w:r w:rsidR="005A6991">
        <w:rPr>
          <w:sz w:val="22"/>
          <w:szCs w:val="22"/>
        </w:rPr>
        <w:t xml:space="preserve"> „</w:t>
      </w:r>
      <w:r w:rsidR="00AD5089" w:rsidRPr="00AD5089">
        <w:rPr>
          <w:sz w:val="22"/>
          <w:szCs w:val="22"/>
        </w:rPr>
        <w:t>Stavební úpravy vnitřních prostor bytové jednotky pro DOZP Vilík</w:t>
      </w:r>
      <w:r w:rsidR="005A6991">
        <w:rPr>
          <w:sz w:val="22"/>
          <w:szCs w:val="22"/>
        </w:rPr>
        <w:t>“.</w:t>
      </w:r>
      <w:r w:rsidR="00D31233">
        <w:rPr>
          <w:sz w:val="22"/>
          <w:szCs w:val="22"/>
        </w:rPr>
        <w:t xml:space="preserve"> </w:t>
      </w:r>
      <w:r w:rsidR="005A353E" w:rsidRPr="0044306E">
        <w:rPr>
          <w:sz w:val="22"/>
          <w:szCs w:val="22"/>
        </w:rPr>
        <w:t xml:space="preserve">Blíže viz </w:t>
      </w:r>
      <w:hyperlink r:id="rId11" w:history="1">
        <w:r w:rsidR="00AD5089" w:rsidRPr="00933416">
          <w:rPr>
            <w:rStyle w:val="Hypertextovodkaz"/>
            <w:sz w:val="22"/>
            <w:szCs w:val="22"/>
          </w:rPr>
          <w:t>https://ezak.kr-karlovarsky.cz/contract_display_8343.html</w:t>
        </w:r>
      </w:hyperlink>
      <w:r w:rsidR="005A353E" w:rsidRPr="00933416">
        <w:rPr>
          <w:sz w:val="22"/>
          <w:szCs w:val="22"/>
        </w:rPr>
        <w:t>, kde</w:t>
      </w:r>
      <w:r w:rsidR="005A353E" w:rsidRPr="0044306E">
        <w:rPr>
          <w:sz w:val="22"/>
          <w:szCs w:val="22"/>
        </w:rPr>
        <w:t xml:space="preserve"> je k dispozici projektová dokumentace a další informace k</w:t>
      </w:r>
      <w:r w:rsidR="0044306E">
        <w:rPr>
          <w:sz w:val="22"/>
          <w:szCs w:val="22"/>
        </w:rPr>
        <w:t xml:space="preserve"> této </w:t>
      </w:r>
      <w:r w:rsidR="005A353E" w:rsidRPr="0044306E">
        <w:rPr>
          <w:sz w:val="22"/>
          <w:szCs w:val="22"/>
        </w:rPr>
        <w:t>veřejné zakázce</w:t>
      </w:r>
      <w:r w:rsidR="0044306E">
        <w:rPr>
          <w:sz w:val="22"/>
          <w:szCs w:val="22"/>
        </w:rPr>
        <w:t>.</w:t>
      </w:r>
    </w:p>
    <w:p w14:paraId="4A337873" w14:textId="77777777" w:rsidR="008E5EC3" w:rsidRDefault="008E5EC3" w:rsidP="00F9674E">
      <w:pPr>
        <w:spacing w:line="276" w:lineRule="auto"/>
        <w:jc w:val="both"/>
        <w:rPr>
          <w:sz w:val="22"/>
          <w:szCs w:val="22"/>
        </w:rPr>
      </w:pPr>
    </w:p>
    <w:p w14:paraId="3679AE61" w14:textId="77777777" w:rsidR="008E5EC3" w:rsidRPr="00052B6E" w:rsidRDefault="008E5EC3" w:rsidP="008E5EC3">
      <w:pPr>
        <w:spacing w:line="276" w:lineRule="auto"/>
        <w:jc w:val="both"/>
        <w:rPr>
          <w:b/>
          <w:sz w:val="22"/>
          <w:szCs w:val="22"/>
          <w:u w:val="single"/>
        </w:rPr>
      </w:pPr>
      <w:r w:rsidRPr="00052B6E">
        <w:rPr>
          <w:b/>
          <w:sz w:val="22"/>
          <w:szCs w:val="22"/>
          <w:u w:val="single"/>
        </w:rPr>
        <w:t>Specifické požadavky:</w:t>
      </w:r>
    </w:p>
    <w:p w14:paraId="74AD3D3E" w14:textId="02ECA09D" w:rsidR="008E5EC3" w:rsidRPr="008E5EC3" w:rsidRDefault="008E5EC3" w:rsidP="008E5EC3">
      <w:pPr>
        <w:pStyle w:val="Odstavecseseznamem"/>
        <w:numPr>
          <w:ilvl w:val="0"/>
          <w:numId w:val="20"/>
        </w:numPr>
        <w:spacing w:after="160" w:line="256" w:lineRule="auto"/>
        <w:jc w:val="both"/>
        <w:rPr>
          <w:sz w:val="22"/>
          <w:szCs w:val="22"/>
        </w:rPr>
      </w:pPr>
      <w:bookmarkStart w:id="3" w:name="_Hlk164419441"/>
      <w:r w:rsidRPr="008E5EC3">
        <w:rPr>
          <w:sz w:val="22"/>
          <w:szCs w:val="22"/>
        </w:rPr>
        <w:t>Pasport objektu dotčených stavbou, které jsou přímo předmětem stavebních úprav a dále s nimi všechny sousedící prostory (místnosti)</w:t>
      </w:r>
      <w:r w:rsidR="00927125">
        <w:rPr>
          <w:sz w:val="22"/>
          <w:szCs w:val="22"/>
        </w:rPr>
        <w:t xml:space="preserve"> a přístupové prostory bytového domu</w:t>
      </w:r>
      <w:r w:rsidRPr="008E5EC3">
        <w:rPr>
          <w:sz w:val="22"/>
          <w:szCs w:val="22"/>
        </w:rPr>
        <w:t xml:space="preserve"> </w:t>
      </w:r>
    </w:p>
    <w:p w14:paraId="35136198" w14:textId="77777777" w:rsidR="008E5EC3" w:rsidRPr="008E5EC3" w:rsidRDefault="008E5EC3" w:rsidP="008E5EC3">
      <w:pPr>
        <w:pStyle w:val="Odstavecseseznamem"/>
        <w:numPr>
          <w:ilvl w:val="0"/>
          <w:numId w:val="20"/>
        </w:numPr>
        <w:spacing w:after="160" w:line="256" w:lineRule="auto"/>
        <w:jc w:val="both"/>
        <w:rPr>
          <w:sz w:val="22"/>
          <w:szCs w:val="22"/>
        </w:rPr>
      </w:pPr>
      <w:bookmarkStart w:id="4" w:name="_Hlk191535469"/>
      <w:r w:rsidRPr="008E5EC3">
        <w:rPr>
          <w:sz w:val="22"/>
          <w:szCs w:val="22"/>
        </w:rPr>
        <w:t xml:space="preserve">Koordinace s provozem </w:t>
      </w:r>
      <w:bookmarkStart w:id="5" w:name="_Hlk167312428"/>
      <w:r w:rsidRPr="008E5EC3">
        <w:rPr>
          <w:sz w:val="22"/>
          <w:szCs w:val="22"/>
        </w:rPr>
        <w:t xml:space="preserve">bytového domu </w:t>
      </w:r>
    </w:p>
    <w:bookmarkEnd w:id="4"/>
    <w:bookmarkEnd w:id="5"/>
    <w:p w14:paraId="4393D79D" w14:textId="77777777" w:rsidR="008E5EC3" w:rsidRPr="008E5EC3" w:rsidRDefault="008E5EC3" w:rsidP="008E5EC3">
      <w:pPr>
        <w:pStyle w:val="Odstavecseseznamem"/>
        <w:numPr>
          <w:ilvl w:val="0"/>
          <w:numId w:val="20"/>
        </w:numPr>
        <w:spacing w:after="160" w:line="256" w:lineRule="auto"/>
        <w:jc w:val="both"/>
        <w:rPr>
          <w:sz w:val="22"/>
          <w:szCs w:val="22"/>
        </w:rPr>
      </w:pPr>
      <w:r w:rsidRPr="008E5EC3">
        <w:rPr>
          <w:sz w:val="22"/>
          <w:szCs w:val="22"/>
        </w:rPr>
        <w:t>Koordinace a spolupráce s koordinátorem BOZP</w:t>
      </w:r>
    </w:p>
    <w:p w14:paraId="19C3823F" w14:textId="77777777" w:rsidR="008E5EC3" w:rsidRPr="008E5EC3" w:rsidRDefault="008E5EC3" w:rsidP="008E5EC3">
      <w:pPr>
        <w:pStyle w:val="Odstavecseseznamem"/>
        <w:numPr>
          <w:ilvl w:val="0"/>
          <w:numId w:val="20"/>
        </w:numPr>
        <w:spacing w:after="160" w:line="256" w:lineRule="auto"/>
        <w:jc w:val="both"/>
        <w:rPr>
          <w:sz w:val="22"/>
          <w:szCs w:val="22"/>
        </w:rPr>
      </w:pPr>
      <w:r w:rsidRPr="008E5EC3">
        <w:rPr>
          <w:sz w:val="22"/>
          <w:szCs w:val="22"/>
        </w:rPr>
        <w:t>Kontrola harmonogramu stavby</w:t>
      </w:r>
    </w:p>
    <w:p w14:paraId="7C68670D" w14:textId="77777777" w:rsidR="008E5EC3" w:rsidRPr="008E5EC3" w:rsidRDefault="008E5EC3" w:rsidP="008E5EC3">
      <w:pPr>
        <w:pStyle w:val="Odstavecseseznamem"/>
        <w:numPr>
          <w:ilvl w:val="0"/>
          <w:numId w:val="20"/>
        </w:numPr>
        <w:spacing w:after="160" w:line="256" w:lineRule="auto"/>
        <w:jc w:val="both"/>
        <w:rPr>
          <w:sz w:val="22"/>
          <w:szCs w:val="22"/>
        </w:rPr>
      </w:pPr>
      <w:r w:rsidRPr="008E5EC3">
        <w:rPr>
          <w:sz w:val="22"/>
          <w:szCs w:val="22"/>
        </w:rPr>
        <w:t>Zajištění fotodokumentace a případně videozáznamu průběhu realizace stavby, zejména se zaměřením na zdokumentování částí stavby, které budou v dalším postupu zakryté nebo se stanou nepřístupnými, a na důležité stavebně-technické detaily (jednotlivé záznamy budou opatřeny datem pořízení)</w:t>
      </w:r>
    </w:p>
    <w:p w14:paraId="0FC71500" w14:textId="77777777" w:rsidR="00EA2FAF" w:rsidRPr="00052B6E" w:rsidRDefault="00EA2FAF" w:rsidP="00EA2FAF">
      <w:pPr>
        <w:pStyle w:val="Odstavecseseznamem"/>
        <w:numPr>
          <w:ilvl w:val="0"/>
          <w:numId w:val="20"/>
        </w:numPr>
        <w:spacing w:line="276" w:lineRule="auto"/>
        <w:ind w:left="993"/>
        <w:jc w:val="both"/>
        <w:rPr>
          <w:sz w:val="22"/>
          <w:szCs w:val="22"/>
        </w:rPr>
      </w:pPr>
      <w:r>
        <w:rPr>
          <w:sz w:val="22"/>
          <w:szCs w:val="22"/>
        </w:rPr>
        <w:t>Dodavatel</w:t>
      </w:r>
      <w:r w:rsidRPr="00052B6E">
        <w:rPr>
          <w:sz w:val="22"/>
          <w:szCs w:val="22"/>
        </w:rPr>
        <w:t xml:space="preserve"> se zavazuje uchovávat veškerou dokumentaci související s realizací projektu včetně účetních dokladů minimálně do konce roku 2036. Pokud je v českých právních předpisech stanovena lhůta delší, musí být použita pro úschovu delší lhůta.</w:t>
      </w:r>
    </w:p>
    <w:p w14:paraId="143D5183" w14:textId="4ADA60BB" w:rsidR="008E5EC3" w:rsidRPr="00052B6E" w:rsidRDefault="00EA2FAF" w:rsidP="00EA2FAF">
      <w:pPr>
        <w:pStyle w:val="Odstavecseseznamem"/>
        <w:numPr>
          <w:ilvl w:val="0"/>
          <w:numId w:val="20"/>
        </w:numPr>
        <w:spacing w:after="160" w:line="276" w:lineRule="auto"/>
        <w:ind w:left="993"/>
        <w:jc w:val="both"/>
        <w:rPr>
          <w:sz w:val="22"/>
          <w:szCs w:val="22"/>
        </w:rPr>
      </w:pPr>
      <w:r>
        <w:rPr>
          <w:sz w:val="22"/>
          <w:szCs w:val="22"/>
        </w:rPr>
        <w:t>Dodavatel</w:t>
      </w:r>
      <w:r w:rsidRPr="00052B6E">
        <w:rPr>
          <w:sz w:val="22"/>
          <w:szCs w:val="22"/>
        </w:rPr>
        <w:t xml:space="preserve"> je povinen minimálně do 31. 12. 2036 poskytovat požadované informace a dokumentaci související s realizací projektu zaměstnancům nebo zmocněncům pověřených orgánů (Ministerstva životního prostředí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F6CBE66" w14:textId="77777777" w:rsidR="008E5EC3" w:rsidRPr="00052B6E" w:rsidRDefault="008E5EC3" w:rsidP="008E5EC3">
      <w:pPr>
        <w:pStyle w:val="Odstavecseseznamem"/>
        <w:numPr>
          <w:ilvl w:val="0"/>
          <w:numId w:val="20"/>
        </w:numPr>
        <w:spacing w:line="276" w:lineRule="auto"/>
        <w:ind w:left="993"/>
        <w:jc w:val="both"/>
        <w:rPr>
          <w:sz w:val="22"/>
          <w:szCs w:val="22"/>
        </w:rPr>
      </w:pPr>
      <w:r w:rsidRPr="00052B6E">
        <w:rPr>
          <w:sz w:val="22"/>
          <w:szCs w:val="22"/>
        </w:rPr>
        <w:t xml:space="preserve">Každá faktura musí být označena číslem projektu </w:t>
      </w:r>
      <w:bookmarkStart w:id="6" w:name="_Hlk191535901"/>
      <w:r w:rsidRPr="00052B6E">
        <w:rPr>
          <w:sz w:val="22"/>
          <w:szCs w:val="22"/>
        </w:rPr>
        <w:t>CZ.31.6.0/0.0/0.0/24_114/0011391.</w:t>
      </w:r>
    </w:p>
    <w:p w14:paraId="59D0FE2F" w14:textId="77777777" w:rsidR="008E5EC3" w:rsidRDefault="008E5EC3" w:rsidP="008E5EC3">
      <w:pPr>
        <w:pStyle w:val="Odstavecseseznamem"/>
        <w:numPr>
          <w:ilvl w:val="0"/>
          <w:numId w:val="20"/>
        </w:numPr>
        <w:spacing w:line="276" w:lineRule="auto"/>
        <w:ind w:left="993"/>
        <w:jc w:val="both"/>
        <w:rPr>
          <w:sz w:val="22"/>
          <w:szCs w:val="22"/>
        </w:rPr>
      </w:pPr>
      <w:r w:rsidRPr="00677D7C">
        <w:rPr>
          <w:sz w:val="22"/>
          <w:szCs w:val="22"/>
        </w:rPr>
        <w:t xml:space="preserve">Dodavatel se zavazuje plnit zásady významně nepoškozovat environmentální cíle (dále jen DNSH). </w:t>
      </w:r>
      <w:bookmarkEnd w:id="3"/>
      <w:bookmarkEnd w:id="6"/>
    </w:p>
    <w:p w14:paraId="4EE82BB3" w14:textId="7A30CF15" w:rsidR="001439B1" w:rsidRPr="00046ED5" w:rsidRDefault="001439B1" w:rsidP="00F9674E">
      <w:pPr>
        <w:spacing w:line="276" w:lineRule="auto"/>
        <w:jc w:val="both"/>
        <w:rPr>
          <w:sz w:val="22"/>
          <w:szCs w:val="22"/>
        </w:rPr>
      </w:pPr>
    </w:p>
    <w:p w14:paraId="3D8563D9" w14:textId="48FD7333" w:rsidR="00E367F7" w:rsidRPr="00E27C14" w:rsidRDefault="006E420A" w:rsidP="00F967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lang w:val="cs-CZ"/>
        </w:rPr>
      </w:pPr>
      <w:r w:rsidRPr="00E27C14">
        <w:rPr>
          <w:rFonts w:ascii="Times New Roman" w:hAnsi="Times New Roman" w:cs="Times New Roman"/>
          <w:sz w:val="22"/>
          <w:szCs w:val="22"/>
          <w:lang w:val="cs-CZ"/>
        </w:rPr>
        <w:t xml:space="preserve">Zadavatel stanovuje, že </w:t>
      </w:r>
      <w:r w:rsidR="00FB48F3" w:rsidRPr="00E27C14">
        <w:rPr>
          <w:rFonts w:ascii="Times New Roman" w:hAnsi="Times New Roman" w:cs="Times New Roman"/>
          <w:sz w:val="22"/>
          <w:szCs w:val="22"/>
          <w:lang w:val="cs-CZ"/>
        </w:rPr>
        <w:t>TDS</w:t>
      </w:r>
      <w:r w:rsidRPr="00E27C14">
        <w:rPr>
          <w:rFonts w:ascii="Times New Roman" w:hAnsi="Times New Roman" w:cs="Times New Roman"/>
          <w:sz w:val="22"/>
          <w:szCs w:val="22"/>
          <w:lang w:val="cs-CZ"/>
        </w:rPr>
        <w:t xml:space="preserve"> nesmí provádět dodavatel stavby ani osoba s ním propojená.</w:t>
      </w:r>
    </w:p>
    <w:p w14:paraId="310342E1" w14:textId="77777777" w:rsidR="00FD129B" w:rsidRPr="002B6598" w:rsidRDefault="00FD129B" w:rsidP="004D2264">
      <w:pPr>
        <w:pStyle w:val="Zkladntextodsazen"/>
        <w:ind w:left="0"/>
        <w:rPr>
          <w:sz w:val="28"/>
          <w:szCs w:val="28"/>
        </w:rPr>
      </w:pPr>
    </w:p>
    <w:p w14:paraId="408626BA" w14:textId="77777777" w:rsidR="00415806" w:rsidRPr="007960C4" w:rsidRDefault="00415806" w:rsidP="00F67227">
      <w:pPr>
        <w:numPr>
          <w:ilvl w:val="0"/>
          <w:numId w:val="1"/>
        </w:numPr>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2B6598">
      <w:pPr>
        <w:spacing w:line="276" w:lineRule="auto"/>
        <w:jc w:val="both"/>
        <w:rPr>
          <w:sz w:val="22"/>
          <w:szCs w:val="22"/>
        </w:rPr>
      </w:pPr>
    </w:p>
    <w:p w14:paraId="4BFD090D" w14:textId="5C9C38B3" w:rsidR="00DE10B9" w:rsidRPr="0044306E" w:rsidRDefault="00DE10B9" w:rsidP="002B6598">
      <w:pPr>
        <w:spacing w:line="276" w:lineRule="auto"/>
        <w:rPr>
          <w:sz w:val="22"/>
          <w:szCs w:val="22"/>
        </w:rPr>
      </w:pPr>
      <w:r w:rsidRPr="0044306E">
        <w:rPr>
          <w:sz w:val="22"/>
          <w:szCs w:val="22"/>
        </w:rPr>
        <w:lastRenderedPageBreak/>
        <w:t xml:space="preserve">Předpokládaný termín zahájení výkonu TDS: </w:t>
      </w:r>
      <w:r w:rsidRPr="0044306E">
        <w:rPr>
          <w:sz w:val="22"/>
          <w:szCs w:val="22"/>
        </w:rPr>
        <w:tab/>
      </w:r>
      <w:r w:rsidR="00365015" w:rsidRPr="00933416">
        <w:rPr>
          <w:b/>
          <w:sz w:val="22"/>
          <w:szCs w:val="22"/>
        </w:rPr>
        <w:t>duben</w:t>
      </w:r>
      <w:r w:rsidR="00AD5089" w:rsidRPr="00933416">
        <w:rPr>
          <w:b/>
          <w:sz w:val="22"/>
          <w:szCs w:val="22"/>
        </w:rPr>
        <w:t xml:space="preserve"> </w:t>
      </w:r>
      <w:r w:rsidR="0044306E" w:rsidRPr="00933416">
        <w:rPr>
          <w:b/>
          <w:sz w:val="22"/>
          <w:szCs w:val="22"/>
        </w:rPr>
        <w:t>202</w:t>
      </w:r>
      <w:r w:rsidR="00F660EC" w:rsidRPr="00933416">
        <w:rPr>
          <w:b/>
          <w:sz w:val="22"/>
          <w:szCs w:val="22"/>
        </w:rPr>
        <w:t>5</w:t>
      </w:r>
    </w:p>
    <w:p w14:paraId="45510E44" w14:textId="703817F8" w:rsidR="00DE10B9" w:rsidRDefault="00DE10B9" w:rsidP="002B6598">
      <w:pPr>
        <w:spacing w:line="276" w:lineRule="auto"/>
        <w:rPr>
          <w:sz w:val="22"/>
          <w:szCs w:val="22"/>
        </w:rPr>
      </w:pPr>
      <w:r w:rsidRPr="0044306E">
        <w:rPr>
          <w:sz w:val="22"/>
          <w:szCs w:val="22"/>
        </w:rPr>
        <w:t xml:space="preserve">Předpokládaný termín ukončení výkonu TDS: </w:t>
      </w:r>
      <w:r w:rsidRPr="0044306E">
        <w:rPr>
          <w:sz w:val="22"/>
          <w:szCs w:val="22"/>
        </w:rPr>
        <w:tab/>
      </w:r>
      <w:r w:rsidR="00AD5089" w:rsidRPr="00933416">
        <w:rPr>
          <w:b/>
          <w:sz w:val="22"/>
          <w:szCs w:val="22"/>
        </w:rPr>
        <w:t>červen</w:t>
      </w:r>
      <w:r w:rsidR="0091409F" w:rsidRPr="00933416">
        <w:rPr>
          <w:b/>
          <w:sz w:val="22"/>
          <w:szCs w:val="22"/>
        </w:rPr>
        <w:t xml:space="preserve"> </w:t>
      </w:r>
      <w:r w:rsidR="0044306E" w:rsidRPr="00933416">
        <w:rPr>
          <w:b/>
          <w:sz w:val="22"/>
          <w:szCs w:val="22"/>
        </w:rPr>
        <w:t>202</w:t>
      </w:r>
      <w:r w:rsidR="00AD5089" w:rsidRPr="00933416">
        <w:rPr>
          <w:b/>
          <w:sz w:val="22"/>
          <w:szCs w:val="22"/>
        </w:rPr>
        <w:t>5</w:t>
      </w:r>
    </w:p>
    <w:p w14:paraId="423B10A9" w14:textId="77777777" w:rsidR="00DE10B9" w:rsidRDefault="00DE10B9" w:rsidP="002B6598">
      <w:pPr>
        <w:spacing w:line="276" w:lineRule="auto"/>
        <w:jc w:val="both"/>
        <w:rPr>
          <w:b/>
          <w:sz w:val="22"/>
          <w:szCs w:val="22"/>
          <w:u w:val="single"/>
        </w:rPr>
      </w:pPr>
    </w:p>
    <w:p w14:paraId="505301CE" w14:textId="53547482" w:rsidR="00933416" w:rsidRPr="005E0EA5" w:rsidRDefault="00BE5BBD" w:rsidP="00933416">
      <w:pPr>
        <w:spacing w:line="276" w:lineRule="auto"/>
        <w:jc w:val="both"/>
        <w:rPr>
          <w:sz w:val="22"/>
          <w:szCs w:val="22"/>
        </w:rPr>
      </w:pPr>
      <w:bookmarkStart w:id="7" w:name="_Hlk162814220"/>
      <w:r w:rsidRPr="00933416">
        <w:rPr>
          <w:sz w:val="22"/>
          <w:szCs w:val="22"/>
        </w:rPr>
        <w:t>Výkon TDS bude ukončen</w:t>
      </w:r>
      <w:r w:rsidR="0002674B" w:rsidRPr="00933416">
        <w:rPr>
          <w:sz w:val="22"/>
          <w:szCs w:val="22"/>
        </w:rPr>
        <w:t xml:space="preserve"> po </w:t>
      </w:r>
      <w:r w:rsidR="00933416" w:rsidRPr="00552BB9">
        <w:rPr>
          <w:sz w:val="22"/>
          <w:szCs w:val="22"/>
        </w:rPr>
        <w:t>řádném dokončení stavby a odevzdání všech dokladů souvisejících s realizací stavby</w:t>
      </w:r>
      <w:r w:rsidR="00933416">
        <w:rPr>
          <w:sz w:val="22"/>
          <w:szCs w:val="22"/>
        </w:rPr>
        <w:t xml:space="preserve"> (nejpozději do </w:t>
      </w:r>
      <w:r w:rsidR="00933416" w:rsidRPr="009D5E6A">
        <w:rPr>
          <w:sz w:val="22"/>
          <w:szCs w:val="22"/>
        </w:rPr>
        <w:t>3</w:t>
      </w:r>
      <w:r w:rsidR="00933416">
        <w:rPr>
          <w:sz w:val="22"/>
          <w:szCs w:val="22"/>
        </w:rPr>
        <w:t xml:space="preserve"> měsíců od </w:t>
      </w:r>
      <w:r w:rsidR="004A6686">
        <w:rPr>
          <w:sz w:val="22"/>
          <w:szCs w:val="22"/>
        </w:rPr>
        <w:t>ú</w:t>
      </w:r>
      <w:r w:rsidR="000109F2">
        <w:rPr>
          <w:sz w:val="22"/>
          <w:szCs w:val="22"/>
        </w:rPr>
        <w:t xml:space="preserve">činnosti </w:t>
      </w:r>
      <w:r w:rsidR="00933416">
        <w:rPr>
          <w:sz w:val="22"/>
          <w:szCs w:val="22"/>
        </w:rPr>
        <w:t>smlouvy)</w:t>
      </w:r>
      <w:r w:rsidR="00933416" w:rsidRPr="00552BB9">
        <w:rPr>
          <w:sz w:val="22"/>
          <w:szCs w:val="22"/>
        </w:rPr>
        <w:t>.</w:t>
      </w:r>
    </w:p>
    <w:p w14:paraId="61D3117F" w14:textId="32D873F3" w:rsidR="00BE5BBD" w:rsidRPr="00E775C5" w:rsidRDefault="00BE5BBD" w:rsidP="00E775C5">
      <w:pPr>
        <w:spacing w:after="120"/>
        <w:jc w:val="both"/>
        <w:rPr>
          <w:sz w:val="22"/>
          <w:szCs w:val="22"/>
        </w:rPr>
      </w:pPr>
    </w:p>
    <w:bookmarkEnd w:id="7"/>
    <w:p w14:paraId="07BB80CD" w14:textId="4720AFF4" w:rsidR="00933416" w:rsidRDefault="00933416" w:rsidP="00933416">
      <w:pPr>
        <w:spacing w:line="276" w:lineRule="auto"/>
        <w:jc w:val="both"/>
        <w:rPr>
          <w:sz w:val="22"/>
          <w:szCs w:val="22"/>
        </w:rPr>
      </w:pPr>
      <w:r>
        <w:rPr>
          <w:sz w:val="22"/>
          <w:szCs w:val="22"/>
        </w:rPr>
        <w:t>P</w:t>
      </w:r>
      <w:r w:rsidRPr="00677151">
        <w:rPr>
          <w:sz w:val="22"/>
          <w:szCs w:val="22"/>
        </w:rPr>
        <w:t xml:space="preserve">oskytování služeb </w:t>
      </w:r>
      <w:r>
        <w:rPr>
          <w:sz w:val="22"/>
          <w:szCs w:val="22"/>
        </w:rPr>
        <w:t>vybraným dodavatelem</w:t>
      </w:r>
      <w:r w:rsidRPr="00677151">
        <w:rPr>
          <w:sz w:val="22"/>
          <w:szCs w:val="22"/>
        </w:rPr>
        <w:t xml:space="preserve"> bude prováděno průběžně v návaznosti na plnění smlouvy o dílo </w:t>
      </w:r>
      <w:r>
        <w:rPr>
          <w:sz w:val="22"/>
          <w:szCs w:val="22"/>
        </w:rPr>
        <w:t xml:space="preserve">na zhotovení </w:t>
      </w:r>
      <w:r w:rsidRPr="00677151">
        <w:rPr>
          <w:sz w:val="22"/>
          <w:szCs w:val="22"/>
        </w:rPr>
        <w:t>stavby. Konkrétní termíny předání staveniště zhotoviteli</w:t>
      </w:r>
      <w:r>
        <w:rPr>
          <w:sz w:val="22"/>
          <w:szCs w:val="22"/>
        </w:rPr>
        <w:t xml:space="preserve"> a</w:t>
      </w:r>
      <w:r w:rsidRPr="00677151">
        <w:rPr>
          <w:sz w:val="22"/>
          <w:szCs w:val="22"/>
        </w:rPr>
        <w:t xml:space="preserve"> předání </w:t>
      </w:r>
      <w:r>
        <w:rPr>
          <w:sz w:val="22"/>
          <w:szCs w:val="22"/>
        </w:rPr>
        <w:t xml:space="preserve">dokončené stavby budou známy </w:t>
      </w:r>
      <w:r w:rsidRPr="00677151">
        <w:rPr>
          <w:sz w:val="22"/>
          <w:szCs w:val="22"/>
        </w:rPr>
        <w:t xml:space="preserve">po ukončení zadávacího řízení </w:t>
      </w:r>
      <w:bookmarkStart w:id="8" w:name="_Hlk162445955"/>
      <w:r>
        <w:rPr>
          <w:sz w:val="22"/>
          <w:szCs w:val="22"/>
        </w:rPr>
        <w:t xml:space="preserve">na zhotovitele stavby </w:t>
      </w:r>
      <w:r w:rsidRPr="00677151">
        <w:rPr>
          <w:sz w:val="22"/>
          <w:szCs w:val="22"/>
        </w:rPr>
        <w:t xml:space="preserve">s názvem </w:t>
      </w:r>
      <w:bookmarkEnd w:id="8"/>
      <w:r w:rsidRPr="0002208B">
        <w:rPr>
          <w:sz w:val="22"/>
          <w:szCs w:val="22"/>
        </w:rPr>
        <w:t>„Stavební úpravy vnitřních prostor bytové jednotky pro DOZP Vilík“</w:t>
      </w:r>
      <w:r w:rsidR="0088558E">
        <w:rPr>
          <w:sz w:val="22"/>
          <w:szCs w:val="22"/>
        </w:rPr>
        <w:t xml:space="preserve">, </w:t>
      </w:r>
      <w:r w:rsidR="0088558E" w:rsidRPr="006C58F2">
        <w:rPr>
          <w:sz w:val="22"/>
          <w:szCs w:val="22"/>
        </w:rPr>
        <w:t>přičemž vlastní realizace</w:t>
      </w:r>
      <w:r w:rsidR="0088558E">
        <w:rPr>
          <w:sz w:val="22"/>
          <w:szCs w:val="22"/>
        </w:rPr>
        <w:t xml:space="preserve"> stavby</w:t>
      </w:r>
      <w:r w:rsidR="0088558E" w:rsidRPr="006C58F2">
        <w:rPr>
          <w:sz w:val="22"/>
          <w:szCs w:val="22"/>
        </w:rPr>
        <w:t xml:space="preserve"> nepřesáhne </w:t>
      </w:r>
      <w:r w:rsidR="0088558E">
        <w:rPr>
          <w:sz w:val="22"/>
          <w:szCs w:val="22"/>
        </w:rPr>
        <w:t>6</w:t>
      </w:r>
      <w:r w:rsidR="0088558E" w:rsidRPr="006C58F2">
        <w:rPr>
          <w:sz w:val="22"/>
          <w:szCs w:val="22"/>
        </w:rPr>
        <w:t>0 kalendářních dnů od zahájení prací</w:t>
      </w:r>
      <w:r>
        <w:rPr>
          <w:sz w:val="22"/>
          <w:szCs w:val="22"/>
        </w:rPr>
        <w:t xml:space="preserve">. </w:t>
      </w:r>
    </w:p>
    <w:p w14:paraId="0EE39F71" w14:textId="77777777" w:rsidR="00146106" w:rsidRDefault="00146106" w:rsidP="00146106">
      <w:pPr>
        <w:spacing w:line="276" w:lineRule="auto"/>
        <w:jc w:val="both"/>
        <w:rPr>
          <w:sz w:val="22"/>
          <w:szCs w:val="22"/>
        </w:rPr>
      </w:pPr>
    </w:p>
    <w:p w14:paraId="0FB09DC1" w14:textId="2407A4EC" w:rsidR="007118BE" w:rsidRPr="00D31233" w:rsidRDefault="007118BE" w:rsidP="00C766B5">
      <w:pPr>
        <w:spacing w:after="120" w:line="276" w:lineRule="auto"/>
        <w:jc w:val="both"/>
        <w:rPr>
          <w:sz w:val="22"/>
          <w:szCs w:val="22"/>
        </w:rPr>
      </w:pPr>
      <w:r w:rsidRPr="007118BE">
        <w:rPr>
          <w:sz w:val="22"/>
          <w:szCs w:val="22"/>
        </w:rPr>
        <w:t xml:space="preserve">Místem plnění veřejné zakázky </w:t>
      </w:r>
      <w:r w:rsidR="00933416">
        <w:rPr>
          <w:sz w:val="22"/>
          <w:szCs w:val="22"/>
        </w:rPr>
        <w:t>je</w:t>
      </w:r>
      <w:r w:rsidR="00B76B80" w:rsidRPr="00896FD9">
        <w:rPr>
          <w:sz w:val="22"/>
          <w:szCs w:val="22"/>
        </w:rPr>
        <w:t xml:space="preserve"> </w:t>
      </w:r>
      <w:r w:rsidR="00B76B80">
        <w:rPr>
          <w:sz w:val="22"/>
          <w:szCs w:val="22"/>
        </w:rPr>
        <w:t>bytová jednotka č. 305/9 v </w:t>
      </w:r>
      <w:proofErr w:type="spellStart"/>
      <w:r w:rsidR="00B76B80">
        <w:rPr>
          <w:sz w:val="22"/>
          <w:szCs w:val="22"/>
        </w:rPr>
        <w:t>k.ú</w:t>
      </w:r>
      <w:proofErr w:type="spellEnd"/>
      <w:r w:rsidR="00B76B80">
        <w:rPr>
          <w:sz w:val="22"/>
          <w:szCs w:val="22"/>
        </w:rPr>
        <w:t>. Cheb, na adrese 26. dubna 1305/27, 350 02 Cheb</w:t>
      </w:r>
      <w:r w:rsidR="00B76B80" w:rsidRPr="00896FD9">
        <w:rPr>
          <w:sz w:val="22"/>
          <w:szCs w:val="22"/>
        </w:rPr>
        <w:t>.</w:t>
      </w:r>
    </w:p>
    <w:p w14:paraId="12F9353A" w14:textId="77777777" w:rsidR="00217B48" w:rsidRPr="002B6598" w:rsidRDefault="00217B48" w:rsidP="00F9674E">
      <w:pPr>
        <w:spacing w:line="276" w:lineRule="auto"/>
        <w:jc w:val="both"/>
        <w:rPr>
          <w:sz w:val="28"/>
          <w:szCs w:val="28"/>
        </w:rPr>
      </w:pPr>
    </w:p>
    <w:p w14:paraId="1AC2F55D" w14:textId="490E27F9" w:rsidR="000667AC" w:rsidRPr="007960C4" w:rsidRDefault="002654EA" w:rsidP="00F67227">
      <w:pPr>
        <w:numPr>
          <w:ilvl w:val="0"/>
          <w:numId w:val="1"/>
        </w:numPr>
        <w:rPr>
          <w:b/>
          <w:sz w:val="28"/>
          <w:u w:val="single"/>
        </w:rPr>
      </w:pPr>
      <w:r w:rsidRPr="007960C4">
        <w:rPr>
          <w:b/>
          <w:sz w:val="28"/>
          <w:u w:val="single"/>
        </w:rPr>
        <w:t>Obchodní podmínky</w:t>
      </w:r>
    </w:p>
    <w:p w14:paraId="3F20493C" w14:textId="77777777" w:rsidR="000667AC" w:rsidRPr="00F9674E" w:rsidRDefault="000667AC" w:rsidP="000667AC">
      <w:pPr>
        <w:ind w:left="360"/>
        <w:rPr>
          <w:sz w:val="22"/>
          <w:szCs w:val="22"/>
        </w:rPr>
      </w:pPr>
    </w:p>
    <w:p w14:paraId="56F0187F" w14:textId="70A62CB4" w:rsidR="00DE10B9" w:rsidRPr="002C5BBE" w:rsidRDefault="00DE10B9" w:rsidP="002C5BBE">
      <w:pPr>
        <w:pStyle w:val="Style11"/>
        <w:spacing w:line="276" w:lineRule="auto"/>
        <w:rPr>
          <w:rStyle w:val="FontStyle50"/>
          <w:rFonts w:eastAsia="Times New Roman"/>
          <w:sz w:val="22"/>
          <w:szCs w:val="22"/>
        </w:rPr>
      </w:pPr>
      <w:r w:rsidRPr="002C5BBE">
        <w:rPr>
          <w:rStyle w:val="FontStyle50"/>
          <w:rFonts w:eastAsia="Times New Roman"/>
          <w:sz w:val="22"/>
          <w:szCs w:val="22"/>
        </w:rPr>
        <w:t>Zadávací dokumentace obsahuje v souladu se ZZVZ obchodní podmínky. Obchodní a jiné podmínky jsou stanoveny formou</w:t>
      </w:r>
      <w:r w:rsidR="00576EF2">
        <w:rPr>
          <w:rStyle w:val="FontStyle50"/>
          <w:rFonts w:eastAsia="Times New Roman"/>
          <w:sz w:val="22"/>
          <w:szCs w:val="22"/>
        </w:rPr>
        <w:t xml:space="preserve"> závazného</w:t>
      </w:r>
      <w:r w:rsidRPr="002C5BBE">
        <w:rPr>
          <w:rStyle w:val="FontStyle50"/>
          <w:rFonts w:eastAsia="Times New Roman"/>
          <w:sz w:val="22"/>
          <w:szCs w:val="22"/>
        </w:rPr>
        <w:t xml:space="preserve"> návrhu příkazní smlouvy, která je přílohou č. </w:t>
      </w:r>
      <w:r w:rsidR="002B6598">
        <w:rPr>
          <w:rStyle w:val="FontStyle50"/>
          <w:rFonts w:eastAsia="Times New Roman"/>
          <w:sz w:val="22"/>
          <w:szCs w:val="22"/>
        </w:rPr>
        <w:t>1</w:t>
      </w:r>
      <w:r w:rsidRPr="002C5BBE">
        <w:rPr>
          <w:rStyle w:val="FontStyle50"/>
          <w:rFonts w:eastAsia="Times New Roman"/>
          <w:sz w:val="22"/>
          <w:szCs w:val="22"/>
        </w:rPr>
        <w:t xml:space="preserve"> této výzvy. </w:t>
      </w:r>
    </w:p>
    <w:p w14:paraId="53E89388" w14:textId="77777777" w:rsidR="00DE10B9" w:rsidRPr="002C5BBE" w:rsidRDefault="00DE10B9" w:rsidP="002C5BBE">
      <w:pPr>
        <w:pStyle w:val="Style11"/>
        <w:spacing w:line="276" w:lineRule="auto"/>
        <w:rPr>
          <w:rStyle w:val="FontStyle50"/>
          <w:rFonts w:eastAsia="Times New Roman"/>
          <w:sz w:val="22"/>
          <w:szCs w:val="22"/>
        </w:rPr>
      </w:pPr>
    </w:p>
    <w:p w14:paraId="4AF0F47A" w14:textId="06EE9C68" w:rsidR="00F67227"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Nedílnou součástí nabídky musí být návrh příkazní smlouvy. Zadavatel nepřipouští odchylky od návrhu smlouvy. Účastník řízení do návrhu smlouvy doplní</w:t>
      </w:r>
      <w:r w:rsidR="00F67227" w:rsidRPr="00F67227">
        <w:rPr>
          <w:rStyle w:val="FontStyle50"/>
          <w:rFonts w:eastAsia="Times New Roman"/>
          <w:sz w:val="22"/>
          <w:szCs w:val="22"/>
        </w:rPr>
        <w:t>:</w:t>
      </w:r>
    </w:p>
    <w:p w14:paraId="4F0274A8" w14:textId="22C04539" w:rsidR="00F67227" w:rsidRPr="00F67227" w:rsidRDefault="00DE10B9" w:rsidP="00F9674E">
      <w:pPr>
        <w:pStyle w:val="Style11"/>
        <w:numPr>
          <w:ilvl w:val="0"/>
          <w:numId w:val="13"/>
        </w:numPr>
        <w:spacing w:line="276" w:lineRule="auto"/>
        <w:ind w:left="426" w:hanging="284"/>
        <w:rPr>
          <w:rStyle w:val="FontStyle50"/>
          <w:rFonts w:eastAsia="Times New Roman"/>
          <w:sz w:val="22"/>
          <w:szCs w:val="22"/>
        </w:rPr>
      </w:pPr>
      <w:r w:rsidRPr="00F67227">
        <w:rPr>
          <w:rStyle w:val="FontStyle50"/>
          <w:rFonts w:eastAsia="Times New Roman"/>
          <w:sz w:val="22"/>
          <w:szCs w:val="22"/>
        </w:rPr>
        <w:t>identifikační</w:t>
      </w:r>
      <w:r w:rsidR="00F67227" w:rsidRPr="00F67227">
        <w:rPr>
          <w:rStyle w:val="FontStyle50"/>
          <w:rFonts w:eastAsia="Times New Roman"/>
          <w:sz w:val="22"/>
          <w:szCs w:val="22"/>
        </w:rPr>
        <w:t xml:space="preserve"> a kontaktní</w:t>
      </w:r>
      <w:r w:rsidRPr="00F67227">
        <w:rPr>
          <w:rStyle w:val="FontStyle50"/>
          <w:rFonts w:eastAsia="Times New Roman"/>
          <w:sz w:val="22"/>
          <w:szCs w:val="22"/>
        </w:rPr>
        <w:t xml:space="preserve"> údaje, </w:t>
      </w:r>
    </w:p>
    <w:p w14:paraId="7C161133" w14:textId="20C17D4C" w:rsidR="00F67227" w:rsidRPr="00A6392F" w:rsidRDefault="00DE10B9" w:rsidP="00F9674E">
      <w:pPr>
        <w:pStyle w:val="Style11"/>
        <w:numPr>
          <w:ilvl w:val="0"/>
          <w:numId w:val="13"/>
        </w:numPr>
        <w:spacing w:line="276" w:lineRule="auto"/>
        <w:ind w:left="426" w:hanging="284"/>
        <w:rPr>
          <w:rStyle w:val="FontStyle50"/>
          <w:rFonts w:eastAsia="Times New Roman"/>
          <w:sz w:val="22"/>
          <w:szCs w:val="22"/>
        </w:rPr>
      </w:pPr>
      <w:r w:rsidRPr="00F67227">
        <w:rPr>
          <w:rStyle w:val="FontStyle50"/>
          <w:rFonts w:eastAsia="Times New Roman"/>
          <w:sz w:val="22"/>
          <w:szCs w:val="22"/>
        </w:rPr>
        <w:t xml:space="preserve">nabídkovou cenu </w:t>
      </w:r>
      <w:r w:rsidR="00A6392F" w:rsidRPr="00F67227">
        <w:rPr>
          <w:rStyle w:val="FontStyle50"/>
          <w:rFonts w:eastAsia="Times New Roman"/>
          <w:sz w:val="22"/>
          <w:szCs w:val="22"/>
        </w:rPr>
        <w:t xml:space="preserve">včetně uvedení, zda je či není plátce DPH, </w:t>
      </w:r>
    </w:p>
    <w:p w14:paraId="0C9A23EE" w14:textId="06C9B69D" w:rsidR="00F67227" w:rsidRPr="00F67227" w:rsidRDefault="00F67227" w:rsidP="00F9674E">
      <w:pPr>
        <w:pStyle w:val="Style11"/>
        <w:numPr>
          <w:ilvl w:val="0"/>
          <w:numId w:val="13"/>
        </w:numPr>
        <w:spacing w:line="276" w:lineRule="auto"/>
        <w:ind w:left="426" w:hanging="284"/>
        <w:rPr>
          <w:rStyle w:val="FontStyle50"/>
          <w:rFonts w:eastAsia="Times New Roman"/>
          <w:sz w:val="22"/>
          <w:szCs w:val="22"/>
        </w:rPr>
      </w:pPr>
      <w:r w:rsidRPr="00F67227">
        <w:rPr>
          <w:rStyle w:val="FontStyle50"/>
          <w:rFonts w:eastAsia="Times New Roman"/>
          <w:sz w:val="22"/>
          <w:szCs w:val="22"/>
        </w:rPr>
        <w:t>osobu TDS, která bude tuto pozici za dodavatele plnit a kterou prokazuje zkušenosti v rámci kritéria č. 2 (tato osoba musí být shodná)</w:t>
      </w:r>
      <w:r w:rsidR="00306D80">
        <w:rPr>
          <w:rStyle w:val="FontStyle50"/>
          <w:rFonts w:eastAsia="Times New Roman"/>
          <w:sz w:val="22"/>
          <w:szCs w:val="22"/>
        </w:rPr>
        <w:t xml:space="preserve"> a</w:t>
      </w:r>
    </w:p>
    <w:p w14:paraId="636CABC6" w14:textId="5D692201" w:rsidR="00F67227" w:rsidRPr="00F67227" w:rsidRDefault="00DE10B9" w:rsidP="00F9674E">
      <w:pPr>
        <w:pStyle w:val="Style11"/>
        <w:numPr>
          <w:ilvl w:val="0"/>
          <w:numId w:val="13"/>
        </w:numPr>
        <w:spacing w:line="276" w:lineRule="auto"/>
        <w:ind w:left="426" w:hanging="284"/>
        <w:rPr>
          <w:rStyle w:val="FontStyle50"/>
          <w:rFonts w:eastAsia="Times New Roman"/>
          <w:sz w:val="22"/>
          <w:szCs w:val="22"/>
        </w:rPr>
      </w:pPr>
      <w:r w:rsidRPr="00F67227">
        <w:rPr>
          <w:rStyle w:val="FontStyle50"/>
          <w:rFonts w:eastAsia="Times New Roman"/>
          <w:sz w:val="22"/>
          <w:szCs w:val="22"/>
        </w:rPr>
        <w:t>oprávněné osoby za příkazníka</w:t>
      </w:r>
      <w:r w:rsidR="00306D80">
        <w:rPr>
          <w:rStyle w:val="FontStyle50"/>
          <w:rFonts w:eastAsia="Times New Roman"/>
          <w:sz w:val="22"/>
          <w:szCs w:val="22"/>
        </w:rPr>
        <w:t>,</w:t>
      </w:r>
      <w:r w:rsidRPr="00F67227">
        <w:rPr>
          <w:rStyle w:val="FontStyle50"/>
          <w:rFonts w:eastAsia="Times New Roman"/>
          <w:sz w:val="22"/>
          <w:szCs w:val="22"/>
        </w:rPr>
        <w:t xml:space="preserve"> </w:t>
      </w:r>
    </w:p>
    <w:p w14:paraId="4F81CDDF" w14:textId="2C3037D1" w:rsidR="00926CE8"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 xml:space="preserve">bez jakýchkoliv úprav znění </w:t>
      </w:r>
      <w:r w:rsidR="00F67227" w:rsidRPr="00F67227">
        <w:rPr>
          <w:rStyle w:val="FontStyle50"/>
          <w:rFonts w:eastAsia="Times New Roman"/>
          <w:sz w:val="22"/>
          <w:szCs w:val="22"/>
        </w:rPr>
        <w:t xml:space="preserve">dalších </w:t>
      </w:r>
      <w:r w:rsidRPr="00F67227">
        <w:rPr>
          <w:rStyle w:val="FontStyle50"/>
          <w:rFonts w:eastAsia="Times New Roman"/>
          <w:sz w:val="22"/>
          <w:szCs w:val="22"/>
        </w:rPr>
        <w:t>jednotlivých ustanovení smlouvy.</w:t>
      </w:r>
      <w:r w:rsidR="00F67227" w:rsidRPr="00F67227">
        <w:rPr>
          <w:rStyle w:val="FontStyle50"/>
          <w:rFonts w:eastAsia="Times New Roman"/>
          <w:sz w:val="22"/>
          <w:szCs w:val="22"/>
        </w:rPr>
        <w:t xml:space="preserve"> </w:t>
      </w:r>
      <w:r w:rsidR="00926CE8" w:rsidRPr="00F67227">
        <w:rPr>
          <w:rFonts w:ascii="Times New Roman" w:hAnsi="Times New Roman" w:cs="Times New Roman"/>
          <w:sz w:val="22"/>
          <w:szCs w:val="22"/>
        </w:rPr>
        <w:t>Místa pro doplnění návrhu smlouvy jsou vyznačena žlutým podbarvením.</w:t>
      </w:r>
      <w:r w:rsidR="00926CE8" w:rsidRPr="00F67227">
        <w:rPr>
          <w:rStyle w:val="FontStyle50"/>
          <w:sz w:val="22"/>
          <w:szCs w:val="22"/>
        </w:rPr>
        <w:t xml:space="preserve"> </w:t>
      </w:r>
    </w:p>
    <w:p w14:paraId="21E4D5C2" w14:textId="77777777" w:rsidR="00C8120F" w:rsidRPr="002B6598" w:rsidRDefault="00C8120F" w:rsidP="002C5BBE">
      <w:pPr>
        <w:widowControl w:val="0"/>
        <w:autoSpaceDE w:val="0"/>
        <w:autoSpaceDN w:val="0"/>
        <w:adjustRightInd w:val="0"/>
        <w:spacing w:line="276" w:lineRule="auto"/>
        <w:jc w:val="both"/>
        <w:rPr>
          <w:rStyle w:val="FontStyle50"/>
          <w:sz w:val="28"/>
          <w:szCs w:val="28"/>
        </w:rPr>
      </w:pPr>
    </w:p>
    <w:p w14:paraId="023596F6" w14:textId="77777777" w:rsidR="00FC7210" w:rsidRPr="00217B48" w:rsidRDefault="00FC7210" w:rsidP="00F67227">
      <w:pPr>
        <w:numPr>
          <w:ilvl w:val="0"/>
          <w:numId w:val="1"/>
        </w:numPr>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F35920" w:rsidRDefault="00F35920" w:rsidP="002B6598">
      <w:pPr>
        <w:spacing w:line="276" w:lineRule="auto"/>
        <w:jc w:val="both"/>
        <w:rPr>
          <w:sz w:val="22"/>
          <w:szCs w:val="22"/>
        </w:rPr>
      </w:pPr>
      <w:r w:rsidRPr="00F35920">
        <w:rPr>
          <w:sz w:val="22"/>
          <w:szCs w:val="22"/>
        </w:rPr>
        <w:t>Zadavatel provede hodnocení nabídek podle jejich ekonomické výhodnosti. Ekonomickou výhodnost nabídek bude zadavatel hodnotit na základě nejvýhodnějšího poměru nabídkové ceny a kvality.</w:t>
      </w:r>
    </w:p>
    <w:p w14:paraId="025A9CBE" w14:textId="77777777" w:rsidR="00F35920" w:rsidRPr="00F35920" w:rsidRDefault="00F35920" w:rsidP="002B6598">
      <w:pPr>
        <w:spacing w:line="276" w:lineRule="auto"/>
        <w:jc w:val="both"/>
        <w:rPr>
          <w:sz w:val="22"/>
          <w:szCs w:val="22"/>
        </w:rPr>
      </w:pPr>
    </w:p>
    <w:p w14:paraId="693BCC22" w14:textId="77777777" w:rsidR="00F35920" w:rsidRPr="00F35920" w:rsidRDefault="00F35920" w:rsidP="002B6598">
      <w:pPr>
        <w:spacing w:line="276" w:lineRule="auto"/>
        <w:jc w:val="both"/>
        <w:rPr>
          <w:sz w:val="22"/>
          <w:szCs w:val="22"/>
        </w:rPr>
      </w:pPr>
      <w:r w:rsidRPr="00F35920">
        <w:rPr>
          <w:sz w:val="22"/>
          <w:szCs w:val="22"/>
        </w:rPr>
        <w:t>Zadavatel stanovuje níže uvedená dílčí kritéria hodnocení:</w:t>
      </w:r>
    </w:p>
    <w:p w14:paraId="36132D84" w14:textId="77777777" w:rsidR="00F35920" w:rsidRPr="00F35920" w:rsidRDefault="00F35920" w:rsidP="002B6598">
      <w:pPr>
        <w:spacing w:line="276" w:lineRule="auto"/>
        <w:jc w:val="both"/>
        <w:rPr>
          <w:sz w:val="22"/>
          <w:szCs w:val="22"/>
        </w:rPr>
      </w:pPr>
    </w:p>
    <w:p w14:paraId="7A3F3CF0" w14:textId="250BB5E1" w:rsidR="00F35920" w:rsidRPr="00F35920" w:rsidRDefault="00F35920" w:rsidP="00F9674E">
      <w:pPr>
        <w:spacing w:line="276" w:lineRule="auto"/>
        <w:ind w:left="142" w:hanging="142"/>
        <w:jc w:val="both"/>
        <w:rPr>
          <w:b/>
          <w:sz w:val="22"/>
          <w:szCs w:val="22"/>
        </w:rPr>
      </w:pPr>
      <w:r w:rsidRPr="00F35920">
        <w:rPr>
          <w:sz w:val="22"/>
          <w:szCs w:val="22"/>
        </w:rPr>
        <w:t>•</w:t>
      </w:r>
      <w:r w:rsidRPr="00F35920">
        <w:rPr>
          <w:sz w:val="22"/>
          <w:szCs w:val="22"/>
        </w:rPr>
        <w:tab/>
      </w:r>
      <w:r w:rsidRPr="00F35920">
        <w:rPr>
          <w:b/>
          <w:sz w:val="22"/>
          <w:szCs w:val="22"/>
        </w:rPr>
        <w:t xml:space="preserve">Kritérium č. 1 – výše celkové nabídkové ceny v Kč včetně DPH      </w:t>
      </w:r>
      <w:r w:rsidR="00855694">
        <w:rPr>
          <w:b/>
          <w:sz w:val="22"/>
          <w:szCs w:val="22"/>
        </w:rPr>
        <w:tab/>
      </w:r>
      <w:r w:rsidR="00855694">
        <w:rPr>
          <w:b/>
          <w:sz w:val="22"/>
          <w:szCs w:val="22"/>
        </w:rPr>
        <w:tab/>
      </w:r>
      <w:r w:rsidR="004C00DB">
        <w:rPr>
          <w:b/>
          <w:sz w:val="22"/>
          <w:szCs w:val="22"/>
        </w:rPr>
        <w:tab/>
      </w:r>
      <w:r w:rsidRPr="00F35920">
        <w:rPr>
          <w:b/>
          <w:sz w:val="22"/>
          <w:szCs w:val="22"/>
        </w:rPr>
        <w:t xml:space="preserve">váha kritéria </w:t>
      </w:r>
      <w:r w:rsidR="006503A8">
        <w:rPr>
          <w:b/>
          <w:sz w:val="22"/>
          <w:szCs w:val="22"/>
        </w:rPr>
        <w:t>8</w:t>
      </w:r>
      <w:r w:rsidR="006503A8" w:rsidRPr="00F35920">
        <w:rPr>
          <w:b/>
          <w:sz w:val="22"/>
          <w:szCs w:val="22"/>
        </w:rPr>
        <w:t xml:space="preserve">0 </w:t>
      </w:r>
      <w:r w:rsidRPr="00F35920">
        <w:rPr>
          <w:b/>
          <w:sz w:val="22"/>
          <w:szCs w:val="22"/>
        </w:rPr>
        <w:t>%</w:t>
      </w:r>
    </w:p>
    <w:p w14:paraId="6063E6DF" w14:textId="77777777" w:rsidR="001C3337" w:rsidRDefault="001C3337" w:rsidP="002B6598">
      <w:pPr>
        <w:spacing w:line="276" w:lineRule="auto"/>
        <w:jc w:val="both"/>
        <w:rPr>
          <w:sz w:val="22"/>
          <w:szCs w:val="22"/>
        </w:rPr>
      </w:pPr>
    </w:p>
    <w:p w14:paraId="6356D3EC" w14:textId="396EEA7D" w:rsidR="002B6598" w:rsidRDefault="00F35920" w:rsidP="00F9674E">
      <w:pPr>
        <w:spacing w:after="120" w:line="276" w:lineRule="auto"/>
        <w:jc w:val="both"/>
        <w:rPr>
          <w:sz w:val="22"/>
          <w:szCs w:val="22"/>
        </w:rPr>
      </w:pPr>
      <w:r w:rsidRPr="00F35920">
        <w:rPr>
          <w:sz w:val="22"/>
          <w:szCs w:val="22"/>
        </w:rPr>
        <w:t>V tomto kritériu se vyhodnotí výše celkové nabídkové ceny v Kč včetně DPH stanovená v souladu s</w:t>
      </w:r>
      <w:r w:rsidR="001C3337">
        <w:rPr>
          <w:sz w:val="22"/>
          <w:szCs w:val="22"/>
        </w:rPr>
        <w:t> </w:t>
      </w:r>
      <w:r w:rsidRPr="00F35920">
        <w:rPr>
          <w:sz w:val="22"/>
          <w:szCs w:val="22"/>
        </w:rPr>
        <w:t xml:space="preserve">podmínkami zadávací dokumentace, a to směrem od nejnižší hodnoty k nejvyšší hodnotě. </w:t>
      </w:r>
      <w:r w:rsidR="00FB48F3">
        <w:rPr>
          <w:sz w:val="22"/>
          <w:szCs w:val="22"/>
        </w:rPr>
        <w:t>U dodavatele, který je neplátce DPH, bude hodnocena nabídková cena jako celková konečná.</w:t>
      </w:r>
      <w:r w:rsidR="00CC75E1">
        <w:rPr>
          <w:sz w:val="22"/>
          <w:szCs w:val="22"/>
        </w:rPr>
        <w:t xml:space="preserve"> </w:t>
      </w:r>
    </w:p>
    <w:p w14:paraId="33E7F12F" w14:textId="77777777" w:rsidR="008105AD" w:rsidRDefault="002B6598" w:rsidP="008105AD">
      <w:pPr>
        <w:spacing w:after="120"/>
        <w:jc w:val="both"/>
        <w:rPr>
          <w:sz w:val="22"/>
          <w:szCs w:val="22"/>
        </w:rPr>
      </w:pPr>
      <w:r>
        <w:rPr>
          <w:sz w:val="22"/>
          <w:szCs w:val="22"/>
        </w:rPr>
        <w:t xml:space="preserve">Nabídková cena bude uvedena v návrhu příkazní smlouvy. </w:t>
      </w:r>
      <w:bookmarkStart w:id="9" w:name="_Hlk162452415"/>
      <w:r w:rsidR="00A6392F" w:rsidRPr="0042558C">
        <w:rPr>
          <w:sz w:val="22"/>
          <w:szCs w:val="22"/>
        </w:rPr>
        <w:t xml:space="preserve">Není-li účastník registrovaným plátcem DPH, potom tuto daň nevyčíslí a skutečnost, že není jejím plátcem, výslovně uvede v nabídce (v části, kde je vyčíslena nabídková cena). </w:t>
      </w:r>
    </w:p>
    <w:p w14:paraId="60535B24" w14:textId="77777777" w:rsidR="002B26A2" w:rsidRPr="00F125B2" w:rsidRDefault="002B26A2" w:rsidP="002B26A2">
      <w:pPr>
        <w:jc w:val="both"/>
        <w:rPr>
          <w:sz w:val="22"/>
          <w:szCs w:val="22"/>
        </w:rPr>
      </w:pPr>
      <w:r w:rsidRPr="00F125B2">
        <w:rPr>
          <w:sz w:val="22"/>
          <w:szCs w:val="22"/>
        </w:rPr>
        <w:lastRenderedPageBreak/>
        <w:t>Překročení stanovené maximální možné a nepřekročitelné nabídkové ceny je důvodem pro vyloučení účastníka.</w:t>
      </w:r>
    </w:p>
    <w:bookmarkEnd w:id="9"/>
    <w:p w14:paraId="2B8F6A62" w14:textId="77777777" w:rsidR="002B6598" w:rsidRDefault="002B6598" w:rsidP="002B6598">
      <w:pPr>
        <w:spacing w:line="276" w:lineRule="auto"/>
        <w:jc w:val="both"/>
        <w:rPr>
          <w:sz w:val="22"/>
          <w:szCs w:val="22"/>
        </w:rPr>
      </w:pPr>
    </w:p>
    <w:p w14:paraId="502A8989" w14:textId="7BE4DD7B" w:rsidR="0042558C" w:rsidRDefault="00F35920" w:rsidP="0042558C">
      <w:pPr>
        <w:spacing w:line="276" w:lineRule="auto"/>
        <w:jc w:val="both"/>
        <w:rPr>
          <w:sz w:val="22"/>
          <w:szCs w:val="22"/>
        </w:rPr>
      </w:pPr>
      <w:r w:rsidRPr="00F35920">
        <w:rPr>
          <w:sz w:val="22"/>
          <w:szCs w:val="22"/>
        </w:rPr>
        <w:t>Každá hodnocená nabídka získá bodovou hodnotu, která bude určena na základě níže uvedeného vzorce:</w:t>
      </w:r>
    </w:p>
    <w:p w14:paraId="1611C2FA" w14:textId="77777777" w:rsidR="0042558C" w:rsidRPr="0042558C" w:rsidRDefault="0042558C" w:rsidP="0042558C">
      <w:pPr>
        <w:spacing w:line="276" w:lineRule="auto"/>
        <w:jc w:val="both"/>
        <w:rPr>
          <w:sz w:val="22"/>
          <w:szCs w:val="22"/>
        </w:rPr>
      </w:pPr>
    </w:p>
    <w:tbl>
      <w:tblPr>
        <w:tblW w:w="0" w:type="auto"/>
        <w:tblLayout w:type="fixed"/>
        <w:tblLook w:val="0000" w:firstRow="0" w:lastRow="0" w:firstColumn="0" w:lastColumn="0" w:noHBand="0" w:noVBand="0"/>
      </w:tblPr>
      <w:tblGrid>
        <w:gridCol w:w="349"/>
        <w:gridCol w:w="4613"/>
        <w:gridCol w:w="992"/>
        <w:gridCol w:w="283"/>
        <w:gridCol w:w="2188"/>
      </w:tblGrid>
      <w:tr w:rsidR="0042558C" w:rsidRPr="002B6598" w14:paraId="61348217" w14:textId="77777777" w:rsidTr="0042558C">
        <w:tc>
          <w:tcPr>
            <w:tcW w:w="349" w:type="dxa"/>
            <w:shd w:val="clear" w:color="auto" w:fill="auto"/>
          </w:tcPr>
          <w:p w14:paraId="0AEB3B11" w14:textId="77777777" w:rsidR="0042558C" w:rsidRPr="0042558C" w:rsidRDefault="0042558C" w:rsidP="00CD0FDA">
            <w:pPr>
              <w:spacing w:line="276" w:lineRule="auto"/>
              <w:jc w:val="both"/>
              <w:rPr>
                <w:i/>
                <w:sz w:val="40"/>
                <w:szCs w:val="40"/>
                <w:u w:val="single"/>
              </w:rPr>
            </w:pPr>
            <w:r w:rsidRPr="0042558C">
              <w:rPr>
                <w:bCs/>
                <w:i/>
                <w:iCs/>
                <w:sz w:val="40"/>
                <w:szCs w:val="40"/>
              </w:rPr>
              <w:t>(</w:t>
            </w:r>
          </w:p>
        </w:tc>
        <w:tc>
          <w:tcPr>
            <w:tcW w:w="4613" w:type="dxa"/>
            <w:shd w:val="clear" w:color="auto" w:fill="auto"/>
          </w:tcPr>
          <w:p w14:paraId="3F878033" w14:textId="77777777" w:rsidR="0042558C" w:rsidRDefault="0042558C" w:rsidP="0042558C">
            <w:pPr>
              <w:spacing w:line="276" w:lineRule="auto"/>
              <w:jc w:val="both"/>
              <w:rPr>
                <w:bCs/>
                <w:i/>
                <w:iCs/>
                <w:sz w:val="22"/>
                <w:szCs w:val="22"/>
                <w:u w:val="single"/>
              </w:rPr>
            </w:pPr>
            <w:r w:rsidRPr="0042558C">
              <w:rPr>
                <w:i/>
                <w:sz w:val="22"/>
                <w:szCs w:val="22"/>
                <w:u w:val="single"/>
              </w:rPr>
              <w:t>výše nejnižší celkové nabídkové ceny</w:t>
            </w:r>
          </w:p>
          <w:p w14:paraId="1079B2B5" w14:textId="6DE684F4" w:rsidR="0042558C" w:rsidRPr="0042558C" w:rsidRDefault="0042558C" w:rsidP="0042558C">
            <w:pPr>
              <w:spacing w:line="276" w:lineRule="auto"/>
              <w:jc w:val="both"/>
              <w:rPr>
                <w:bCs/>
                <w:i/>
                <w:iCs/>
                <w:sz w:val="22"/>
                <w:szCs w:val="22"/>
                <w:u w:val="single"/>
              </w:rPr>
            </w:pPr>
            <w:r w:rsidRPr="0042558C">
              <w:rPr>
                <w:bCs/>
                <w:i/>
                <w:iCs/>
                <w:sz w:val="22"/>
                <w:szCs w:val="22"/>
              </w:rPr>
              <w:t>výše celkové nabídkové ceny hodnocené nabídky</w:t>
            </w:r>
          </w:p>
          <w:p w14:paraId="7771F582" w14:textId="36B9C9A6" w:rsidR="0042558C" w:rsidRPr="002B6598" w:rsidRDefault="0042558C" w:rsidP="00CD0FDA">
            <w:pPr>
              <w:spacing w:line="276" w:lineRule="auto"/>
              <w:jc w:val="both"/>
              <w:rPr>
                <w:bCs/>
                <w:i/>
                <w:iCs/>
                <w:sz w:val="22"/>
                <w:szCs w:val="22"/>
              </w:rPr>
            </w:pPr>
          </w:p>
        </w:tc>
        <w:tc>
          <w:tcPr>
            <w:tcW w:w="992" w:type="dxa"/>
            <w:shd w:val="clear" w:color="auto" w:fill="auto"/>
          </w:tcPr>
          <w:p w14:paraId="69E46426" w14:textId="77777777" w:rsidR="0042558C" w:rsidRPr="0042558C" w:rsidRDefault="0042558C" w:rsidP="00CD0FDA">
            <w:pPr>
              <w:spacing w:line="276" w:lineRule="auto"/>
              <w:jc w:val="both"/>
              <w:rPr>
                <w:bCs/>
                <w:i/>
                <w:iCs/>
                <w:sz w:val="40"/>
                <w:szCs w:val="40"/>
              </w:rPr>
            </w:pPr>
            <w:r w:rsidRPr="0042558C">
              <w:rPr>
                <w:bCs/>
                <w:i/>
                <w:iCs/>
                <w:sz w:val="40"/>
                <w:szCs w:val="40"/>
              </w:rPr>
              <w:t>)</w:t>
            </w:r>
          </w:p>
        </w:tc>
        <w:tc>
          <w:tcPr>
            <w:tcW w:w="283" w:type="dxa"/>
            <w:shd w:val="clear" w:color="auto" w:fill="auto"/>
            <w:vAlign w:val="center"/>
          </w:tcPr>
          <w:p w14:paraId="79E3039B" w14:textId="77777777" w:rsidR="0042558C" w:rsidRPr="002B6598" w:rsidRDefault="0042558C" w:rsidP="00CD0FDA">
            <w:pPr>
              <w:spacing w:line="276" w:lineRule="auto"/>
              <w:jc w:val="both"/>
              <w:rPr>
                <w:bCs/>
                <w:i/>
                <w:iCs/>
                <w:sz w:val="22"/>
                <w:szCs w:val="22"/>
              </w:rPr>
            </w:pPr>
            <w:r w:rsidRPr="002B6598">
              <w:rPr>
                <w:bCs/>
                <w:i/>
                <w:iCs/>
                <w:sz w:val="22"/>
                <w:szCs w:val="22"/>
              </w:rPr>
              <w:t>x</w:t>
            </w:r>
          </w:p>
        </w:tc>
        <w:tc>
          <w:tcPr>
            <w:tcW w:w="2188" w:type="dxa"/>
            <w:shd w:val="clear" w:color="auto" w:fill="auto"/>
            <w:vAlign w:val="center"/>
          </w:tcPr>
          <w:p w14:paraId="150E508A" w14:textId="77777777" w:rsidR="0042558C" w:rsidRPr="002B6598" w:rsidRDefault="0042558C" w:rsidP="00CD0FDA">
            <w:pPr>
              <w:spacing w:line="276" w:lineRule="auto"/>
              <w:jc w:val="both"/>
              <w:rPr>
                <w:sz w:val="22"/>
                <w:szCs w:val="22"/>
              </w:rPr>
            </w:pPr>
            <w:r w:rsidRPr="002B6598">
              <w:rPr>
                <w:bCs/>
                <w:i/>
                <w:iCs/>
                <w:sz w:val="22"/>
                <w:szCs w:val="22"/>
              </w:rPr>
              <w:t>100</w:t>
            </w:r>
          </w:p>
        </w:tc>
      </w:tr>
    </w:tbl>
    <w:p w14:paraId="170784FC" w14:textId="77777777" w:rsidR="001C3337" w:rsidRDefault="001C3337" w:rsidP="001C3337">
      <w:pPr>
        <w:spacing w:line="276" w:lineRule="auto"/>
        <w:ind w:left="142" w:hanging="142"/>
        <w:jc w:val="both"/>
        <w:rPr>
          <w:b/>
          <w:sz w:val="22"/>
          <w:szCs w:val="22"/>
        </w:rPr>
      </w:pPr>
    </w:p>
    <w:p w14:paraId="042AB0B5" w14:textId="27BF67F6" w:rsidR="00F35920" w:rsidRPr="00F35920" w:rsidRDefault="00F35920" w:rsidP="00F9674E">
      <w:pPr>
        <w:spacing w:line="276" w:lineRule="auto"/>
        <w:ind w:left="142" w:hanging="142"/>
        <w:jc w:val="both"/>
        <w:rPr>
          <w:b/>
          <w:sz w:val="22"/>
          <w:szCs w:val="22"/>
        </w:rPr>
      </w:pPr>
      <w:r w:rsidRPr="00F35920">
        <w:rPr>
          <w:b/>
          <w:sz w:val="22"/>
          <w:szCs w:val="22"/>
        </w:rPr>
        <w:t>•</w:t>
      </w:r>
      <w:r w:rsidRPr="00F35920">
        <w:rPr>
          <w:b/>
          <w:sz w:val="22"/>
          <w:szCs w:val="22"/>
        </w:rPr>
        <w:tab/>
        <w:t>Kritérium č. 2 –</w:t>
      </w:r>
      <w:r w:rsidR="001643AD">
        <w:rPr>
          <w:b/>
          <w:sz w:val="22"/>
          <w:szCs w:val="22"/>
        </w:rPr>
        <w:t xml:space="preserve"> </w:t>
      </w:r>
      <w:r w:rsidRPr="00F35920">
        <w:rPr>
          <w:b/>
          <w:sz w:val="22"/>
          <w:szCs w:val="22"/>
        </w:rPr>
        <w:t>zkušenosti osob</w:t>
      </w:r>
      <w:r>
        <w:rPr>
          <w:b/>
          <w:sz w:val="22"/>
          <w:szCs w:val="22"/>
        </w:rPr>
        <w:t xml:space="preserve">y vykonávající </w:t>
      </w:r>
      <w:r w:rsidR="00FB48F3">
        <w:rPr>
          <w:b/>
          <w:sz w:val="22"/>
          <w:szCs w:val="22"/>
        </w:rPr>
        <w:t>TDS</w:t>
      </w:r>
      <w:r w:rsidRPr="00F35920">
        <w:rPr>
          <w:b/>
          <w:sz w:val="22"/>
          <w:szCs w:val="22"/>
        </w:rPr>
        <w:t xml:space="preserve">     </w:t>
      </w:r>
      <w:r w:rsidR="004C00DB">
        <w:rPr>
          <w:b/>
          <w:sz w:val="22"/>
          <w:szCs w:val="22"/>
        </w:rPr>
        <w:tab/>
      </w:r>
      <w:r w:rsidR="004C00DB">
        <w:rPr>
          <w:b/>
          <w:sz w:val="22"/>
          <w:szCs w:val="22"/>
        </w:rPr>
        <w:tab/>
      </w:r>
      <w:r w:rsidR="004C00DB">
        <w:rPr>
          <w:b/>
          <w:sz w:val="22"/>
          <w:szCs w:val="22"/>
        </w:rPr>
        <w:tab/>
      </w:r>
      <w:r w:rsidR="004C00DB">
        <w:rPr>
          <w:b/>
          <w:sz w:val="22"/>
          <w:szCs w:val="22"/>
        </w:rPr>
        <w:tab/>
      </w:r>
      <w:r w:rsidR="00855694">
        <w:rPr>
          <w:b/>
          <w:sz w:val="22"/>
          <w:szCs w:val="22"/>
        </w:rPr>
        <w:t>v</w:t>
      </w:r>
      <w:r w:rsidRPr="00F35920">
        <w:rPr>
          <w:b/>
          <w:sz w:val="22"/>
          <w:szCs w:val="22"/>
        </w:rPr>
        <w:t xml:space="preserve">áha kritéria </w:t>
      </w:r>
      <w:r w:rsidR="006503A8">
        <w:rPr>
          <w:b/>
          <w:sz w:val="22"/>
          <w:szCs w:val="22"/>
        </w:rPr>
        <w:t>2</w:t>
      </w:r>
      <w:r w:rsidR="006503A8" w:rsidRPr="00F35920">
        <w:rPr>
          <w:b/>
          <w:sz w:val="22"/>
          <w:szCs w:val="22"/>
        </w:rPr>
        <w:t xml:space="preserve">0 </w:t>
      </w:r>
      <w:r w:rsidRPr="00F35920">
        <w:rPr>
          <w:b/>
          <w:sz w:val="22"/>
          <w:szCs w:val="22"/>
        </w:rPr>
        <w:t>%</w:t>
      </w:r>
    </w:p>
    <w:p w14:paraId="56DDD0CB" w14:textId="77777777" w:rsidR="001C3337" w:rsidRDefault="001C3337" w:rsidP="00F35920">
      <w:pPr>
        <w:spacing w:line="276" w:lineRule="auto"/>
        <w:jc w:val="both"/>
        <w:rPr>
          <w:sz w:val="22"/>
          <w:szCs w:val="22"/>
        </w:rPr>
      </w:pPr>
    </w:p>
    <w:p w14:paraId="785CA23F" w14:textId="59F8595B" w:rsidR="00F35920" w:rsidRPr="002B6598" w:rsidRDefault="0079467C" w:rsidP="00F35920">
      <w:pPr>
        <w:spacing w:line="276" w:lineRule="auto"/>
        <w:jc w:val="both"/>
        <w:rPr>
          <w:sz w:val="22"/>
          <w:szCs w:val="22"/>
        </w:rPr>
      </w:pPr>
      <w:r>
        <w:rPr>
          <w:sz w:val="22"/>
          <w:szCs w:val="22"/>
        </w:rPr>
        <w:t>V</w:t>
      </w:r>
      <w:r w:rsidRPr="002B6598">
        <w:rPr>
          <w:sz w:val="22"/>
          <w:szCs w:val="22"/>
        </w:rPr>
        <w:t xml:space="preserve"> rámci </w:t>
      </w:r>
      <w:r w:rsidR="00A04ACF">
        <w:rPr>
          <w:sz w:val="22"/>
          <w:szCs w:val="22"/>
        </w:rPr>
        <w:t>stavby „</w:t>
      </w:r>
      <w:r w:rsidR="00237361">
        <w:rPr>
          <w:sz w:val="22"/>
          <w:szCs w:val="22"/>
        </w:rPr>
        <w:t>S</w:t>
      </w:r>
      <w:r w:rsidR="00237361" w:rsidRPr="005377AC">
        <w:rPr>
          <w:sz w:val="22"/>
          <w:szCs w:val="22"/>
        </w:rPr>
        <w:t>tavební úpravy vnitřních prostor bytové jednotky pro DOZP Vilík</w:t>
      </w:r>
      <w:r w:rsidR="00A04ACF">
        <w:rPr>
          <w:sz w:val="22"/>
          <w:szCs w:val="22"/>
        </w:rPr>
        <w:t>“</w:t>
      </w:r>
      <w:r w:rsidR="00237361">
        <w:rPr>
          <w:sz w:val="22"/>
          <w:szCs w:val="22"/>
        </w:rPr>
        <w:t xml:space="preserve"> </w:t>
      </w:r>
      <w:r>
        <w:rPr>
          <w:sz w:val="22"/>
          <w:szCs w:val="22"/>
        </w:rPr>
        <w:t>b</w:t>
      </w:r>
      <w:r w:rsidRPr="002B6598">
        <w:rPr>
          <w:sz w:val="22"/>
          <w:szCs w:val="22"/>
        </w:rPr>
        <w:t>ude kladen maximální důraz na kvalitu provádění stavebních</w:t>
      </w:r>
      <w:r w:rsidR="001C0BAF">
        <w:rPr>
          <w:sz w:val="22"/>
          <w:szCs w:val="22"/>
        </w:rPr>
        <w:t xml:space="preserve"> a</w:t>
      </w:r>
      <w:r w:rsidRPr="002B6598">
        <w:rPr>
          <w:sz w:val="22"/>
          <w:szCs w:val="22"/>
        </w:rPr>
        <w:t xml:space="preserve"> na koordinaci veškerých činností tak, aby byl dodržen harmonogram časový a finanční při současném dodržování bezpečnosti při práci</w:t>
      </w:r>
      <w:r>
        <w:rPr>
          <w:sz w:val="22"/>
          <w:szCs w:val="22"/>
        </w:rPr>
        <w:t xml:space="preserve"> </w:t>
      </w:r>
      <w:r w:rsidR="00F35920" w:rsidRPr="002B6598">
        <w:rPr>
          <w:sz w:val="22"/>
          <w:szCs w:val="22"/>
        </w:rPr>
        <w:t>vybraným zhotovitelem</w:t>
      </w:r>
      <w:r>
        <w:rPr>
          <w:sz w:val="22"/>
          <w:szCs w:val="22"/>
        </w:rPr>
        <w:t>,</w:t>
      </w:r>
      <w:r w:rsidR="00F35920" w:rsidRPr="002B6598">
        <w:rPr>
          <w:sz w:val="22"/>
          <w:szCs w:val="22"/>
        </w:rPr>
        <w:t xml:space="preserve"> na objekt</w:t>
      </w:r>
      <w:r w:rsidR="001C0BAF">
        <w:rPr>
          <w:sz w:val="22"/>
          <w:szCs w:val="22"/>
        </w:rPr>
        <w:t>u</w:t>
      </w:r>
      <w:r>
        <w:rPr>
          <w:sz w:val="22"/>
          <w:szCs w:val="22"/>
        </w:rPr>
        <w:t>. Z</w:t>
      </w:r>
      <w:r w:rsidR="00F35920" w:rsidRPr="002B6598">
        <w:rPr>
          <w:sz w:val="22"/>
          <w:szCs w:val="22"/>
        </w:rPr>
        <w:t>kušenost</w:t>
      </w:r>
      <w:r>
        <w:rPr>
          <w:sz w:val="22"/>
          <w:szCs w:val="22"/>
        </w:rPr>
        <w:t>i</w:t>
      </w:r>
      <w:r w:rsidR="00F35920" w:rsidRPr="002B6598">
        <w:rPr>
          <w:sz w:val="22"/>
          <w:szCs w:val="22"/>
        </w:rPr>
        <w:t xml:space="preserve"> osoby na pozici </w:t>
      </w:r>
      <w:r w:rsidR="00B00773" w:rsidRPr="002B6598">
        <w:rPr>
          <w:sz w:val="22"/>
          <w:szCs w:val="22"/>
        </w:rPr>
        <w:t>TDS</w:t>
      </w:r>
      <w:r w:rsidR="00F35920" w:rsidRPr="002B6598">
        <w:rPr>
          <w:sz w:val="22"/>
          <w:szCs w:val="22"/>
        </w:rPr>
        <w:t xml:space="preserve"> mohou značnou měrou přispět k dodržení veškerých požadavků, které jsou na projekt kladeny. </w:t>
      </w:r>
      <w:r w:rsidR="003A0B1A" w:rsidRPr="002B6598">
        <w:rPr>
          <w:sz w:val="22"/>
          <w:szCs w:val="22"/>
        </w:rPr>
        <w:t xml:space="preserve">Jméno a příjmení této osoby bude doplněna v návrhu příkazní smlouvy a musí být totožná s osobou, kterou prokazuje dodavatel referenční zakázky. </w:t>
      </w:r>
    </w:p>
    <w:p w14:paraId="7222A62B" w14:textId="77777777" w:rsidR="00B00773" w:rsidRPr="002B6598" w:rsidRDefault="00B00773" w:rsidP="001643AD">
      <w:pPr>
        <w:spacing w:line="276" w:lineRule="auto"/>
        <w:jc w:val="both"/>
        <w:rPr>
          <w:sz w:val="22"/>
          <w:szCs w:val="22"/>
        </w:rPr>
      </w:pPr>
    </w:p>
    <w:p w14:paraId="3DFDB0E0" w14:textId="0D26FC9E" w:rsidR="001643AD" w:rsidRPr="002B6598" w:rsidRDefault="001643AD" w:rsidP="001643AD">
      <w:pPr>
        <w:spacing w:line="276" w:lineRule="auto"/>
        <w:jc w:val="both"/>
        <w:rPr>
          <w:sz w:val="22"/>
          <w:szCs w:val="22"/>
        </w:rPr>
      </w:pPr>
      <w:r w:rsidRPr="002B6598">
        <w:rPr>
          <w:sz w:val="22"/>
          <w:szCs w:val="22"/>
        </w:rPr>
        <w:t xml:space="preserve">V rámci tohoto kritéria hodnocení bude jako výhodnější hodnocena nabídka toho dodavatele, jehož </w:t>
      </w:r>
      <w:r w:rsidR="00B00773" w:rsidRPr="002B6598">
        <w:rPr>
          <w:sz w:val="22"/>
          <w:szCs w:val="22"/>
        </w:rPr>
        <w:t xml:space="preserve">osoba vykonávající přímo </w:t>
      </w:r>
      <w:r w:rsidR="0079467C">
        <w:rPr>
          <w:sz w:val="22"/>
          <w:szCs w:val="22"/>
        </w:rPr>
        <w:t xml:space="preserve">činnost </w:t>
      </w:r>
      <w:r w:rsidR="00B00773" w:rsidRPr="002B6598">
        <w:rPr>
          <w:sz w:val="22"/>
          <w:szCs w:val="22"/>
        </w:rPr>
        <w:t>TDS</w:t>
      </w:r>
      <w:r w:rsidRPr="002B6598">
        <w:rPr>
          <w:sz w:val="22"/>
          <w:szCs w:val="22"/>
        </w:rPr>
        <w:t xml:space="preserve"> bude mít větší zkušenosti</w:t>
      </w:r>
      <w:r w:rsidR="00B00773" w:rsidRPr="002B6598">
        <w:rPr>
          <w:sz w:val="22"/>
          <w:szCs w:val="22"/>
        </w:rPr>
        <w:t>,</w:t>
      </w:r>
      <w:r w:rsidRPr="002B6598">
        <w:rPr>
          <w:sz w:val="22"/>
          <w:szCs w:val="22"/>
        </w:rPr>
        <w:t xml:space="preserve"> co do počtu</w:t>
      </w:r>
      <w:r w:rsidR="001C0BAF">
        <w:rPr>
          <w:sz w:val="22"/>
          <w:szCs w:val="22"/>
        </w:rPr>
        <w:t xml:space="preserve"> </w:t>
      </w:r>
      <w:r w:rsidR="0042558C">
        <w:rPr>
          <w:sz w:val="22"/>
          <w:szCs w:val="22"/>
        </w:rPr>
        <w:t xml:space="preserve">a rozsahu </w:t>
      </w:r>
      <w:r w:rsidRPr="002B6598">
        <w:rPr>
          <w:sz w:val="22"/>
          <w:szCs w:val="22"/>
        </w:rPr>
        <w:t>referenčních zakázek</w:t>
      </w:r>
      <w:r w:rsidR="0042558C">
        <w:rPr>
          <w:sz w:val="22"/>
          <w:szCs w:val="22"/>
        </w:rPr>
        <w:t xml:space="preserve"> </w:t>
      </w:r>
      <w:r w:rsidRPr="002B6598">
        <w:rPr>
          <w:sz w:val="22"/>
          <w:szCs w:val="22"/>
        </w:rPr>
        <w:t xml:space="preserve">realizovaných jím v posledních </w:t>
      </w:r>
      <w:r w:rsidR="001C0BAF">
        <w:rPr>
          <w:sz w:val="22"/>
          <w:szCs w:val="22"/>
        </w:rPr>
        <w:t>3</w:t>
      </w:r>
      <w:r w:rsidRPr="002B6598">
        <w:rPr>
          <w:sz w:val="22"/>
          <w:szCs w:val="22"/>
        </w:rPr>
        <w:t xml:space="preserve"> letech před zahájením </w:t>
      </w:r>
      <w:r w:rsidR="00B00773" w:rsidRPr="002B6598">
        <w:rPr>
          <w:sz w:val="22"/>
          <w:szCs w:val="22"/>
        </w:rPr>
        <w:t xml:space="preserve">tohoto </w:t>
      </w:r>
      <w:r w:rsidRPr="002B6598">
        <w:rPr>
          <w:sz w:val="22"/>
          <w:szCs w:val="22"/>
        </w:rPr>
        <w:t>zadávacího řízení</w:t>
      </w:r>
      <w:r w:rsidR="00B00773" w:rsidRPr="002B6598">
        <w:rPr>
          <w:sz w:val="22"/>
          <w:szCs w:val="22"/>
        </w:rPr>
        <w:t>,</w:t>
      </w:r>
      <w:r w:rsidRPr="002B6598">
        <w:rPr>
          <w:sz w:val="22"/>
          <w:szCs w:val="22"/>
        </w:rPr>
        <w:t xml:space="preserve"> oproti zkušenost</w:t>
      </w:r>
      <w:r w:rsidR="00B00773" w:rsidRPr="002B6598">
        <w:rPr>
          <w:sz w:val="22"/>
          <w:szCs w:val="22"/>
        </w:rPr>
        <w:t>em</w:t>
      </w:r>
      <w:r w:rsidRPr="002B6598">
        <w:rPr>
          <w:sz w:val="22"/>
          <w:szCs w:val="22"/>
        </w:rPr>
        <w:t xml:space="preserve"> </w:t>
      </w:r>
      <w:r w:rsidR="00B00773" w:rsidRPr="002B6598">
        <w:rPr>
          <w:sz w:val="22"/>
          <w:szCs w:val="22"/>
        </w:rPr>
        <w:t>osob TDS</w:t>
      </w:r>
      <w:r w:rsidRPr="002B6598">
        <w:rPr>
          <w:sz w:val="22"/>
          <w:szCs w:val="22"/>
        </w:rPr>
        <w:t xml:space="preserve"> ostatních dodavatelů.</w:t>
      </w:r>
    </w:p>
    <w:p w14:paraId="48776435" w14:textId="77777777" w:rsidR="001643AD" w:rsidRPr="002B6598" w:rsidRDefault="001643AD" w:rsidP="001643AD">
      <w:pPr>
        <w:spacing w:line="276" w:lineRule="auto"/>
        <w:jc w:val="both"/>
        <w:rPr>
          <w:sz w:val="22"/>
          <w:szCs w:val="22"/>
        </w:rPr>
      </w:pPr>
    </w:p>
    <w:p w14:paraId="77F77E5D" w14:textId="7443F544" w:rsidR="003A0B1A" w:rsidRPr="002B6598" w:rsidRDefault="001643AD" w:rsidP="001643AD">
      <w:pPr>
        <w:spacing w:line="276" w:lineRule="auto"/>
        <w:jc w:val="both"/>
        <w:rPr>
          <w:sz w:val="22"/>
          <w:szCs w:val="22"/>
        </w:rPr>
      </w:pPr>
      <w:r w:rsidRPr="002B6598">
        <w:rPr>
          <w:sz w:val="22"/>
          <w:szCs w:val="22"/>
        </w:rPr>
        <w:t xml:space="preserve">Zadavatel bude hodnotit podle přílohy č. </w:t>
      </w:r>
      <w:r w:rsidR="0042558C">
        <w:rPr>
          <w:sz w:val="22"/>
          <w:szCs w:val="22"/>
        </w:rPr>
        <w:t>2</w:t>
      </w:r>
      <w:r w:rsidR="00B00773" w:rsidRPr="002B6598">
        <w:rPr>
          <w:sz w:val="22"/>
          <w:szCs w:val="22"/>
        </w:rPr>
        <w:t xml:space="preserve"> </w:t>
      </w:r>
      <w:r w:rsidRPr="002B6598">
        <w:rPr>
          <w:sz w:val="22"/>
          <w:szCs w:val="22"/>
        </w:rPr>
        <w:t>Z</w:t>
      </w:r>
      <w:r w:rsidRPr="002B6598">
        <w:rPr>
          <w:i/>
          <w:sz w:val="22"/>
          <w:szCs w:val="22"/>
        </w:rPr>
        <w:t xml:space="preserve">kušenosti </w:t>
      </w:r>
      <w:r w:rsidR="00B00773" w:rsidRPr="002B6598">
        <w:rPr>
          <w:i/>
          <w:sz w:val="22"/>
          <w:szCs w:val="22"/>
        </w:rPr>
        <w:t>TDS</w:t>
      </w:r>
      <w:r w:rsidRPr="002B6598">
        <w:rPr>
          <w:i/>
          <w:sz w:val="22"/>
          <w:szCs w:val="22"/>
        </w:rPr>
        <w:t xml:space="preserve"> pro hodnocení</w:t>
      </w:r>
      <w:r w:rsidRPr="002B6598">
        <w:rPr>
          <w:sz w:val="22"/>
          <w:szCs w:val="22"/>
        </w:rPr>
        <w:t xml:space="preserve"> zjištěný počet referenčních zakázek zrealizovaných osobou realizačního týmu </w:t>
      </w:r>
      <w:r w:rsidR="0042558C">
        <w:rPr>
          <w:sz w:val="22"/>
          <w:szCs w:val="22"/>
        </w:rPr>
        <w:t xml:space="preserve">navrženou </w:t>
      </w:r>
      <w:r w:rsidRPr="002B6598">
        <w:rPr>
          <w:sz w:val="22"/>
          <w:szCs w:val="22"/>
        </w:rPr>
        <w:t xml:space="preserve">na pozici </w:t>
      </w:r>
      <w:r w:rsidR="00B00773" w:rsidRPr="002B6598">
        <w:rPr>
          <w:sz w:val="22"/>
          <w:szCs w:val="22"/>
        </w:rPr>
        <w:t>TDS</w:t>
      </w:r>
      <w:r w:rsidRPr="002B6598">
        <w:rPr>
          <w:sz w:val="22"/>
          <w:szCs w:val="22"/>
        </w:rPr>
        <w:t>.</w:t>
      </w:r>
    </w:p>
    <w:p w14:paraId="2BED68F0" w14:textId="77777777" w:rsidR="001643AD" w:rsidRPr="002B6598" w:rsidRDefault="001643AD" w:rsidP="001643AD">
      <w:pPr>
        <w:spacing w:line="276" w:lineRule="auto"/>
        <w:jc w:val="both"/>
        <w:rPr>
          <w:sz w:val="22"/>
          <w:szCs w:val="22"/>
          <w:u w:val="single"/>
        </w:rPr>
      </w:pPr>
    </w:p>
    <w:p w14:paraId="4DDF9401" w14:textId="21A55DBA" w:rsidR="001643AD" w:rsidRPr="002B6598" w:rsidRDefault="001643AD" w:rsidP="001643AD">
      <w:pPr>
        <w:spacing w:line="276" w:lineRule="auto"/>
        <w:jc w:val="both"/>
        <w:rPr>
          <w:sz w:val="22"/>
          <w:szCs w:val="22"/>
          <w:u w:val="single"/>
        </w:rPr>
      </w:pPr>
      <w:r w:rsidRPr="002B6598">
        <w:rPr>
          <w:sz w:val="22"/>
          <w:szCs w:val="22"/>
          <w:u w:val="single"/>
        </w:rPr>
        <w:t xml:space="preserve">Pokyny a požadavky pro vyplnění přílohy č. </w:t>
      </w:r>
      <w:r w:rsidR="0042558C">
        <w:rPr>
          <w:sz w:val="22"/>
          <w:szCs w:val="22"/>
          <w:u w:val="single"/>
        </w:rPr>
        <w:t>2</w:t>
      </w:r>
      <w:r w:rsidRPr="002B6598">
        <w:rPr>
          <w:sz w:val="22"/>
          <w:szCs w:val="22"/>
          <w:u w:val="single"/>
        </w:rPr>
        <w:t xml:space="preserve"> Z</w:t>
      </w:r>
      <w:r w:rsidRPr="002B6598">
        <w:rPr>
          <w:i/>
          <w:sz w:val="22"/>
          <w:szCs w:val="22"/>
          <w:u w:val="single"/>
        </w:rPr>
        <w:t xml:space="preserve">kušenosti </w:t>
      </w:r>
      <w:r w:rsidR="00B00773" w:rsidRPr="002B6598">
        <w:rPr>
          <w:i/>
          <w:sz w:val="22"/>
          <w:szCs w:val="22"/>
          <w:u w:val="single"/>
        </w:rPr>
        <w:t>TDS</w:t>
      </w:r>
      <w:r w:rsidRPr="002B6598">
        <w:rPr>
          <w:i/>
          <w:sz w:val="22"/>
          <w:szCs w:val="22"/>
          <w:u w:val="single"/>
        </w:rPr>
        <w:t xml:space="preserve"> pro hodnocení</w:t>
      </w:r>
      <w:r w:rsidRPr="002B6598">
        <w:rPr>
          <w:sz w:val="22"/>
          <w:szCs w:val="22"/>
          <w:u w:val="single"/>
        </w:rPr>
        <w:t>:</w:t>
      </w:r>
    </w:p>
    <w:p w14:paraId="153DDBE2" w14:textId="636A7B07" w:rsidR="001643AD" w:rsidRPr="002B6598" w:rsidRDefault="001643AD" w:rsidP="001643AD">
      <w:pPr>
        <w:spacing w:line="276" w:lineRule="auto"/>
        <w:jc w:val="both"/>
        <w:rPr>
          <w:sz w:val="22"/>
          <w:szCs w:val="22"/>
        </w:rPr>
      </w:pPr>
      <w:r w:rsidRPr="002B6598">
        <w:rPr>
          <w:sz w:val="22"/>
          <w:szCs w:val="22"/>
        </w:rPr>
        <w:t xml:space="preserve">Do přílohy č. </w:t>
      </w:r>
      <w:r w:rsidR="0042558C">
        <w:rPr>
          <w:sz w:val="22"/>
          <w:szCs w:val="22"/>
        </w:rPr>
        <w:t>2</w:t>
      </w:r>
      <w:r w:rsidRPr="002B6598">
        <w:rPr>
          <w:sz w:val="22"/>
          <w:szCs w:val="22"/>
        </w:rPr>
        <w:t xml:space="preserve"> </w:t>
      </w:r>
      <w:r w:rsidRPr="002B6598">
        <w:rPr>
          <w:i/>
          <w:sz w:val="22"/>
          <w:szCs w:val="22"/>
        </w:rPr>
        <w:t xml:space="preserve">Zkušenosti </w:t>
      </w:r>
      <w:r w:rsidR="00B00773" w:rsidRPr="002B6598">
        <w:rPr>
          <w:i/>
          <w:sz w:val="22"/>
          <w:szCs w:val="22"/>
        </w:rPr>
        <w:t>TDS</w:t>
      </w:r>
      <w:r w:rsidRPr="002B6598">
        <w:rPr>
          <w:i/>
          <w:sz w:val="22"/>
          <w:szCs w:val="22"/>
        </w:rPr>
        <w:t xml:space="preserve"> pro hodnocení</w:t>
      </w:r>
      <w:r w:rsidRPr="002B6598">
        <w:rPr>
          <w:sz w:val="22"/>
          <w:szCs w:val="22"/>
        </w:rPr>
        <w:t xml:space="preserve"> uvede dodavatel referenční zakázky, které realizoval člen realizačního týmu navrhovaný pro tuto veřejnou zakázku na pozici </w:t>
      </w:r>
      <w:r w:rsidR="00B00773" w:rsidRPr="002B6598">
        <w:rPr>
          <w:sz w:val="22"/>
          <w:szCs w:val="22"/>
        </w:rPr>
        <w:t>TDS</w:t>
      </w:r>
      <w:r w:rsidRPr="002B6598">
        <w:rPr>
          <w:sz w:val="22"/>
          <w:szCs w:val="22"/>
        </w:rPr>
        <w:t xml:space="preserve">. </w:t>
      </w:r>
    </w:p>
    <w:p w14:paraId="012927B3" w14:textId="76489C95" w:rsidR="001643AD" w:rsidRPr="002B6598" w:rsidRDefault="001643AD" w:rsidP="001643AD">
      <w:pPr>
        <w:spacing w:line="276" w:lineRule="auto"/>
        <w:jc w:val="both"/>
        <w:rPr>
          <w:sz w:val="22"/>
          <w:szCs w:val="22"/>
        </w:rPr>
      </w:pPr>
      <w:r w:rsidRPr="002B6598">
        <w:rPr>
          <w:sz w:val="22"/>
          <w:szCs w:val="22"/>
        </w:rPr>
        <w:t xml:space="preserve">Tato osoba při realizaci referenčních zakázek, které dodavatel zadávacího řízení uvede v této příloze, vykonávala funkci na pozici člena </w:t>
      </w:r>
      <w:r w:rsidR="00B00773" w:rsidRPr="002B6598">
        <w:rPr>
          <w:sz w:val="22"/>
          <w:szCs w:val="22"/>
        </w:rPr>
        <w:t>TDS</w:t>
      </w:r>
      <w:r w:rsidRPr="002B6598">
        <w:rPr>
          <w:sz w:val="22"/>
          <w:szCs w:val="22"/>
        </w:rPr>
        <w:t>. Tím je myšleno, že t</w:t>
      </w:r>
      <w:r w:rsidRPr="002B6598">
        <w:rPr>
          <w:iCs/>
          <w:sz w:val="22"/>
          <w:szCs w:val="22"/>
        </w:rPr>
        <w:t xml:space="preserve">ato osoba </w:t>
      </w:r>
      <w:r w:rsidR="00B00773" w:rsidRPr="002B6598">
        <w:rPr>
          <w:iCs/>
          <w:sz w:val="22"/>
          <w:szCs w:val="22"/>
        </w:rPr>
        <w:t xml:space="preserve">vykonává kontrolní a dozorovou činnost nad kvalitním, včasným a hospodárným prováděním prací a dodávek v souladu s ověřenou projektovou dokumentací stavby nebo její části a se smluvními podmínkami výstavby a je osobou autorizovanou dle </w:t>
      </w:r>
      <w:r w:rsidRPr="002B6598">
        <w:rPr>
          <w:iCs/>
          <w:sz w:val="22"/>
          <w:szCs w:val="22"/>
        </w:rPr>
        <w:t>zákona č. 360/1992 Sb., o výkonu povolání autorizovaných architektů a o výkonu povolání autorizovaných inženýrů a techniků činných ve výstavbě, ve znění pozdějších předpisů</w:t>
      </w:r>
      <w:r w:rsidR="0042558C">
        <w:rPr>
          <w:iCs/>
          <w:sz w:val="22"/>
          <w:szCs w:val="22"/>
        </w:rPr>
        <w:t xml:space="preserve"> pro obor pozemní stavby</w:t>
      </w:r>
      <w:r w:rsidRPr="002B6598">
        <w:rPr>
          <w:iCs/>
          <w:sz w:val="22"/>
          <w:szCs w:val="22"/>
        </w:rPr>
        <w:t>.</w:t>
      </w:r>
    </w:p>
    <w:p w14:paraId="22E4B327" w14:textId="77777777" w:rsidR="001643AD" w:rsidRPr="002B6598" w:rsidRDefault="001643AD" w:rsidP="001643AD">
      <w:pPr>
        <w:spacing w:line="276" w:lineRule="auto"/>
        <w:jc w:val="both"/>
        <w:rPr>
          <w:sz w:val="22"/>
          <w:szCs w:val="22"/>
        </w:rPr>
      </w:pPr>
    </w:p>
    <w:p w14:paraId="3AB9B0B1" w14:textId="32BD378E" w:rsidR="001643AD" w:rsidRPr="002B6598" w:rsidRDefault="001643AD" w:rsidP="001643AD">
      <w:pPr>
        <w:spacing w:line="276" w:lineRule="auto"/>
        <w:jc w:val="both"/>
        <w:rPr>
          <w:sz w:val="22"/>
          <w:szCs w:val="22"/>
        </w:rPr>
      </w:pPr>
      <w:r w:rsidRPr="002B6598">
        <w:rPr>
          <w:sz w:val="22"/>
          <w:szCs w:val="22"/>
        </w:rPr>
        <w:t xml:space="preserve">Referenční zakázky pro hodnocení zkušeností </w:t>
      </w:r>
      <w:r w:rsidR="00BB207C" w:rsidRPr="002B6598">
        <w:rPr>
          <w:sz w:val="22"/>
          <w:szCs w:val="22"/>
        </w:rPr>
        <w:t>TDS</w:t>
      </w:r>
      <w:r w:rsidRPr="002B6598">
        <w:rPr>
          <w:sz w:val="22"/>
          <w:szCs w:val="22"/>
        </w:rPr>
        <w:t xml:space="preserve"> musí splňovat tyto parametry:</w:t>
      </w:r>
    </w:p>
    <w:p w14:paraId="00BC4D42" w14:textId="46DB4F90" w:rsidR="001643AD" w:rsidRPr="002B6598" w:rsidRDefault="00D03D79" w:rsidP="00F67227">
      <w:pPr>
        <w:numPr>
          <w:ilvl w:val="0"/>
          <w:numId w:val="5"/>
        </w:numPr>
        <w:tabs>
          <w:tab w:val="clear" w:pos="0"/>
          <w:tab w:val="num" w:pos="-360"/>
        </w:tabs>
        <w:spacing w:line="276" w:lineRule="auto"/>
        <w:ind w:left="426" w:hanging="426"/>
        <w:jc w:val="both"/>
        <w:rPr>
          <w:sz w:val="22"/>
          <w:szCs w:val="22"/>
        </w:rPr>
      </w:pPr>
      <w:r w:rsidRPr="00D03D79">
        <w:rPr>
          <w:sz w:val="22"/>
          <w:szCs w:val="22"/>
        </w:rPr>
        <w:t xml:space="preserve">Předmětem referenční zakázky byl výkon činnosti TDS při výstavbě, modernizaci či opravě </w:t>
      </w:r>
      <w:r w:rsidR="00B76B80">
        <w:rPr>
          <w:sz w:val="22"/>
          <w:szCs w:val="22"/>
        </w:rPr>
        <w:t xml:space="preserve">pozemní </w:t>
      </w:r>
      <w:r w:rsidRPr="00D03D79">
        <w:rPr>
          <w:sz w:val="22"/>
          <w:szCs w:val="22"/>
        </w:rPr>
        <w:t>stavby</w:t>
      </w:r>
      <w:r w:rsidR="00BB207C" w:rsidRPr="002B6598">
        <w:rPr>
          <w:sz w:val="22"/>
          <w:szCs w:val="22"/>
        </w:rPr>
        <w:t xml:space="preserve">, přičemž realizační hodnota této stavby byla ve výši min. </w:t>
      </w:r>
      <w:r w:rsidR="00DF2DB3">
        <w:rPr>
          <w:sz w:val="22"/>
          <w:szCs w:val="22"/>
        </w:rPr>
        <w:t>1</w:t>
      </w:r>
      <w:r w:rsidR="00B76B80">
        <w:rPr>
          <w:sz w:val="22"/>
          <w:szCs w:val="22"/>
        </w:rPr>
        <w:t xml:space="preserve"> </w:t>
      </w:r>
      <w:r w:rsidR="00BB207C" w:rsidRPr="002B6598">
        <w:rPr>
          <w:sz w:val="22"/>
          <w:szCs w:val="22"/>
        </w:rPr>
        <w:t>mil. Kč bez DPH (podle smlouvy o</w:t>
      </w:r>
      <w:r w:rsidR="002B26A2">
        <w:rPr>
          <w:sz w:val="22"/>
          <w:szCs w:val="22"/>
        </w:rPr>
        <w:t> </w:t>
      </w:r>
      <w:r w:rsidR="00BB207C" w:rsidRPr="002B6598">
        <w:rPr>
          <w:sz w:val="22"/>
          <w:szCs w:val="22"/>
        </w:rPr>
        <w:t>dílo se zhotovitelem stavby, a to včetně všech platných dodatků)</w:t>
      </w:r>
      <w:r w:rsidR="001643AD" w:rsidRPr="002B6598">
        <w:rPr>
          <w:sz w:val="22"/>
          <w:szCs w:val="22"/>
        </w:rPr>
        <w:t>; a</w:t>
      </w:r>
    </w:p>
    <w:p w14:paraId="52EC9BC4" w14:textId="446E65BA"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Referenční zakázk</w:t>
      </w:r>
      <w:r w:rsidR="00EA3F94" w:rsidRPr="002B6598">
        <w:rPr>
          <w:sz w:val="22"/>
          <w:szCs w:val="22"/>
        </w:rPr>
        <w:t>a</w:t>
      </w:r>
      <w:r w:rsidRPr="002B6598">
        <w:rPr>
          <w:sz w:val="22"/>
          <w:szCs w:val="22"/>
        </w:rPr>
        <w:t xml:space="preserve"> musí splňovat podmínku, že byl</w:t>
      </w:r>
      <w:r w:rsidR="00EA3F94" w:rsidRPr="002B6598">
        <w:rPr>
          <w:sz w:val="22"/>
          <w:szCs w:val="22"/>
        </w:rPr>
        <w:t>a</w:t>
      </w:r>
      <w:r w:rsidRPr="002B6598">
        <w:rPr>
          <w:sz w:val="22"/>
          <w:szCs w:val="22"/>
        </w:rPr>
        <w:t xml:space="preserve"> </w:t>
      </w:r>
      <w:r w:rsidR="00EA3F94" w:rsidRPr="002B6598">
        <w:rPr>
          <w:sz w:val="22"/>
          <w:szCs w:val="22"/>
        </w:rPr>
        <w:t>p</w:t>
      </w:r>
      <w:r w:rsidR="00BE57CB" w:rsidRPr="002B6598">
        <w:rPr>
          <w:sz w:val="22"/>
          <w:szCs w:val="22"/>
        </w:rPr>
        <w:t>lněna</w:t>
      </w:r>
      <w:r w:rsidRPr="002B6598">
        <w:rPr>
          <w:sz w:val="22"/>
          <w:szCs w:val="22"/>
        </w:rPr>
        <w:t xml:space="preserve"> v posledních </w:t>
      </w:r>
      <w:r w:rsidR="00654EB4">
        <w:rPr>
          <w:sz w:val="22"/>
          <w:szCs w:val="22"/>
        </w:rPr>
        <w:t>3</w:t>
      </w:r>
      <w:r w:rsidRPr="002B6598">
        <w:rPr>
          <w:sz w:val="22"/>
          <w:szCs w:val="22"/>
        </w:rPr>
        <w:t xml:space="preserve"> letech před zahájením tohoto zadávacího řízení,</w:t>
      </w:r>
      <w:r w:rsidR="00EA3F94" w:rsidRPr="002B6598">
        <w:rPr>
          <w:sz w:val="22"/>
          <w:szCs w:val="22"/>
        </w:rPr>
        <w:t xml:space="preserve"> a to s tím, že </w:t>
      </w:r>
      <w:r w:rsidR="00D03D79">
        <w:rPr>
          <w:sz w:val="22"/>
          <w:szCs w:val="22"/>
        </w:rPr>
        <w:t>v této době došlo k jejímu dokončení</w:t>
      </w:r>
      <w:r w:rsidR="00EA3F94" w:rsidRPr="002B6598">
        <w:rPr>
          <w:sz w:val="22"/>
          <w:szCs w:val="22"/>
        </w:rPr>
        <w:t>; a</w:t>
      </w:r>
    </w:p>
    <w:p w14:paraId="5A209049" w14:textId="4546BAE9" w:rsidR="001643AD" w:rsidRPr="002B6598" w:rsidRDefault="00EA3F94"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K</w:t>
      </w:r>
      <w:r w:rsidR="001643AD" w:rsidRPr="002B6598">
        <w:rPr>
          <w:sz w:val="22"/>
          <w:szCs w:val="22"/>
        </w:rPr>
        <w:t xml:space="preserve"> ověř</w:t>
      </w:r>
      <w:r w:rsidRPr="002B6598">
        <w:rPr>
          <w:sz w:val="22"/>
          <w:szCs w:val="22"/>
        </w:rPr>
        <w:t>ení</w:t>
      </w:r>
      <w:r w:rsidR="001643AD" w:rsidRPr="002B6598">
        <w:rPr>
          <w:sz w:val="22"/>
          <w:szCs w:val="22"/>
        </w:rPr>
        <w:t xml:space="preserve"> každé referenční zakázky, musí být všechny referenční zakázky doloženy:</w:t>
      </w:r>
    </w:p>
    <w:p w14:paraId="2E4C1CE8" w14:textId="32E39217" w:rsidR="001643AD" w:rsidRPr="002B6598" w:rsidRDefault="00EA3F94" w:rsidP="00F67227">
      <w:pPr>
        <w:numPr>
          <w:ilvl w:val="0"/>
          <w:numId w:val="4"/>
        </w:numPr>
        <w:tabs>
          <w:tab w:val="num" w:pos="66"/>
        </w:tabs>
        <w:spacing w:line="276" w:lineRule="auto"/>
        <w:ind w:left="852" w:hanging="426"/>
        <w:jc w:val="both"/>
        <w:rPr>
          <w:sz w:val="22"/>
          <w:szCs w:val="22"/>
        </w:rPr>
      </w:pPr>
      <w:r w:rsidRPr="002B6598">
        <w:rPr>
          <w:sz w:val="22"/>
          <w:szCs w:val="22"/>
        </w:rPr>
        <w:t>o</w:t>
      </w:r>
      <w:r w:rsidR="001643AD" w:rsidRPr="002B6598">
        <w:rPr>
          <w:sz w:val="22"/>
          <w:szCs w:val="22"/>
        </w:rPr>
        <w:t xml:space="preserve">svědčením objednatele, z něhož bude patrné, že osoba realizačního týmu navrhovaná na pozici </w:t>
      </w:r>
      <w:r w:rsidRPr="002B6598">
        <w:rPr>
          <w:sz w:val="22"/>
          <w:szCs w:val="22"/>
        </w:rPr>
        <w:t>TDS</w:t>
      </w:r>
      <w:r w:rsidR="001643AD" w:rsidRPr="002B6598">
        <w:rPr>
          <w:sz w:val="22"/>
          <w:szCs w:val="22"/>
        </w:rPr>
        <w:t xml:space="preserve"> se na realizaci referenční zakázky </w:t>
      </w:r>
      <w:r w:rsidR="001643AD" w:rsidRPr="002B6598">
        <w:rPr>
          <w:sz w:val="22"/>
          <w:szCs w:val="22"/>
          <w:u w:val="single"/>
        </w:rPr>
        <w:t>osobně</w:t>
      </w:r>
      <w:r w:rsidR="001643AD" w:rsidRPr="002B6598">
        <w:rPr>
          <w:sz w:val="22"/>
          <w:szCs w:val="22"/>
        </w:rPr>
        <w:t xml:space="preserve"> podílela ve funkci </w:t>
      </w:r>
      <w:r w:rsidRPr="002B6598">
        <w:rPr>
          <w:sz w:val="22"/>
          <w:szCs w:val="22"/>
        </w:rPr>
        <w:t>TDS</w:t>
      </w:r>
      <w:r w:rsidR="001643AD" w:rsidRPr="002B6598">
        <w:rPr>
          <w:sz w:val="22"/>
          <w:szCs w:val="22"/>
        </w:rPr>
        <w:t xml:space="preserve"> nebo ve funkci, jakkoliv obdobně nazvané</w:t>
      </w:r>
      <w:r w:rsidR="0042558C">
        <w:rPr>
          <w:sz w:val="22"/>
          <w:szCs w:val="22"/>
        </w:rPr>
        <w:t xml:space="preserve"> a</w:t>
      </w:r>
      <w:r w:rsidR="001643AD" w:rsidRPr="002B6598">
        <w:rPr>
          <w:sz w:val="22"/>
          <w:szCs w:val="22"/>
        </w:rPr>
        <w:t xml:space="preserve"> v rámci které zajišťovala činnosti uvedené výše a zároveň, že zakázka splňovala požadavky podle bodu 1) a 2) uvedené výše</w:t>
      </w:r>
      <w:r w:rsidR="00565EB2" w:rsidRPr="002B6598">
        <w:rPr>
          <w:sz w:val="22"/>
          <w:szCs w:val="22"/>
        </w:rPr>
        <w:t>; a</w:t>
      </w:r>
      <w:r w:rsidR="00565EB2" w:rsidRPr="002B6598">
        <w:rPr>
          <w:sz w:val="22"/>
          <w:szCs w:val="22"/>
        </w:rPr>
        <w:tab/>
      </w:r>
    </w:p>
    <w:p w14:paraId="38FDC8B3" w14:textId="5F46FA75" w:rsidR="001643AD" w:rsidRPr="002B6598" w:rsidRDefault="001643AD" w:rsidP="00F67227">
      <w:pPr>
        <w:numPr>
          <w:ilvl w:val="0"/>
          <w:numId w:val="4"/>
        </w:numPr>
        <w:tabs>
          <w:tab w:val="num" w:pos="66"/>
        </w:tabs>
        <w:spacing w:line="276" w:lineRule="auto"/>
        <w:ind w:left="852" w:hanging="426"/>
        <w:jc w:val="both"/>
        <w:rPr>
          <w:sz w:val="22"/>
          <w:szCs w:val="22"/>
        </w:rPr>
      </w:pPr>
      <w:r w:rsidRPr="002B6598">
        <w:rPr>
          <w:sz w:val="22"/>
          <w:szCs w:val="22"/>
        </w:rPr>
        <w:lastRenderedPageBreak/>
        <w:t>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Takovými doklady mohou být zejména: smlouva s objednatelem,</w:t>
      </w:r>
      <w:r w:rsidR="00565EB2" w:rsidRPr="002B6598">
        <w:rPr>
          <w:sz w:val="22"/>
          <w:szCs w:val="22"/>
        </w:rPr>
        <w:t xml:space="preserve"> odkazy na registr smluv</w:t>
      </w:r>
      <w:r w:rsidRPr="002B6598">
        <w:rPr>
          <w:sz w:val="22"/>
          <w:szCs w:val="22"/>
        </w:rPr>
        <w:t>,</w:t>
      </w:r>
      <w:r w:rsidR="00565EB2" w:rsidRPr="002B6598">
        <w:rPr>
          <w:sz w:val="22"/>
          <w:szCs w:val="22"/>
        </w:rPr>
        <w:t xml:space="preserve"> zápisy z výrobních výborů, fakturace, předávací protokoly</w:t>
      </w:r>
      <w:r w:rsidR="0042558C">
        <w:rPr>
          <w:sz w:val="22"/>
          <w:szCs w:val="22"/>
        </w:rPr>
        <w:t>, smlouva se zhotovitelem stavby</w:t>
      </w:r>
      <w:r w:rsidR="00565EB2" w:rsidRPr="002B6598">
        <w:rPr>
          <w:sz w:val="22"/>
          <w:szCs w:val="22"/>
        </w:rPr>
        <w:t xml:space="preserve"> apod</w:t>
      </w:r>
      <w:r w:rsidRPr="002B6598">
        <w:rPr>
          <w:sz w:val="22"/>
          <w:szCs w:val="22"/>
        </w:rPr>
        <w:t xml:space="preserve">. </w:t>
      </w:r>
    </w:p>
    <w:p w14:paraId="7256268A" w14:textId="77777777" w:rsidR="00654EB4" w:rsidRDefault="001643AD" w:rsidP="00FC2EEC">
      <w:pPr>
        <w:spacing w:line="276" w:lineRule="auto"/>
        <w:ind w:left="852"/>
        <w:jc w:val="both"/>
        <w:rPr>
          <w:sz w:val="22"/>
          <w:szCs w:val="22"/>
        </w:rPr>
      </w:pPr>
      <w:r w:rsidRPr="002B6598">
        <w:rPr>
          <w:sz w:val="22"/>
          <w:szCs w:val="22"/>
        </w:rPr>
        <w:t xml:space="preserve">Zadavatel připouští, aby jedním z dokladů (nikoliv však jediným) byl i vnitřní dokument účastníka nebo i třetí osoby (např. předchozího zaměstnavatele </w:t>
      </w:r>
      <w:r w:rsidR="00565EB2" w:rsidRPr="002B6598">
        <w:rPr>
          <w:sz w:val="22"/>
          <w:szCs w:val="22"/>
        </w:rPr>
        <w:t>TDS</w:t>
      </w:r>
      <w:r w:rsidRPr="002B6598">
        <w:rPr>
          <w:sz w:val="22"/>
          <w:szCs w:val="22"/>
        </w:rPr>
        <w:t>).</w:t>
      </w:r>
      <w:r w:rsidR="00654EB4">
        <w:rPr>
          <w:sz w:val="22"/>
          <w:szCs w:val="22"/>
        </w:rPr>
        <w:t xml:space="preserve"> </w:t>
      </w:r>
    </w:p>
    <w:p w14:paraId="2C38464B" w14:textId="5933BB04"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 xml:space="preserve">U referenčních zakázek uvedených v příloze č. </w:t>
      </w:r>
      <w:r w:rsidR="0042558C">
        <w:rPr>
          <w:sz w:val="22"/>
          <w:szCs w:val="22"/>
        </w:rPr>
        <w:t>2</w:t>
      </w:r>
      <w:r w:rsidRPr="002B6598">
        <w:rPr>
          <w:sz w:val="22"/>
          <w:szCs w:val="22"/>
        </w:rPr>
        <w:t xml:space="preserve"> </w:t>
      </w:r>
      <w:r w:rsidRPr="002B6598">
        <w:rPr>
          <w:i/>
          <w:sz w:val="22"/>
          <w:szCs w:val="22"/>
        </w:rPr>
        <w:t xml:space="preserve">Zkušenosti </w:t>
      </w:r>
      <w:r w:rsidR="00565EB2" w:rsidRPr="002B6598">
        <w:rPr>
          <w:i/>
          <w:sz w:val="22"/>
          <w:szCs w:val="22"/>
        </w:rPr>
        <w:t>TDS</w:t>
      </w:r>
      <w:r w:rsidRPr="002B6598">
        <w:rPr>
          <w:i/>
          <w:sz w:val="22"/>
          <w:szCs w:val="22"/>
        </w:rPr>
        <w:t xml:space="preserve"> pro hodnocení</w:t>
      </w:r>
      <w:r w:rsidRPr="002B6598">
        <w:rPr>
          <w:sz w:val="22"/>
          <w:szCs w:val="22"/>
        </w:rPr>
        <w:t xml:space="preserve"> bude předmětem hodnocení </w:t>
      </w:r>
      <w:r w:rsidR="0079467C">
        <w:rPr>
          <w:sz w:val="22"/>
          <w:szCs w:val="22"/>
        </w:rPr>
        <w:t>hodnota staveb, a to do</w:t>
      </w:r>
      <w:r w:rsidRPr="002B6598">
        <w:rPr>
          <w:sz w:val="22"/>
          <w:szCs w:val="22"/>
        </w:rPr>
        <w:t xml:space="preserve"> </w:t>
      </w:r>
      <w:r w:rsidR="0079467C">
        <w:rPr>
          <w:sz w:val="22"/>
          <w:szCs w:val="22"/>
        </w:rPr>
        <w:t xml:space="preserve">max. </w:t>
      </w:r>
      <w:r w:rsidRPr="002B6598">
        <w:rPr>
          <w:sz w:val="22"/>
          <w:szCs w:val="22"/>
        </w:rPr>
        <w:t>počtu 5</w:t>
      </w:r>
      <w:r w:rsidR="00654EB4">
        <w:rPr>
          <w:sz w:val="22"/>
          <w:szCs w:val="22"/>
        </w:rPr>
        <w:t xml:space="preserve"> referenčních zakázek</w:t>
      </w:r>
      <w:r w:rsidRPr="002B6598">
        <w:rPr>
          <w:sz w:val="22"/>
          <w:szCs w:val="22"/>
        </w:rPr>
        <w:t>, a to postupem uvedeným níže.</w:t>
      </w:r>
    </w:p>
    <w:p w14:paraId="05ED7282" w14:textId="77777777" w:rsidR="001643AD" w:rsidRPr="002B6598" w:rsidRDefault="001643AD" w:rsidP="001643AD">
      <w:pPr>
        <w:spacing w:line="276" w:lineRule="auto"/>
        <w:jc w:val="both"/>
        <w:rPr>
          <w:sz w:val="22"/>
          <w:szCs w:val="22"/>
          <w:u w:val="single"/>
        </w:rPr>
      </w:pPr>
    </w:p>
    <w:p w14:paraId="0F9A0CB4" w14:textId="77777777" w:rsidR="00755BCB" w:rsidRDefault="00755BCB" w:rsidP="00755BCB">
      <w:pPr>
        <w:spacing w:line="276" w:lineRule="auto"/>
        <w:jc w:val="both"/>
        <w:rPr>
          <w:b/>
          <w:bCs/>
          <w:sz w:val="22"/>
          <w:szCs w:val="22"/>
        </w:rPr>
      </w:pPr>
      <w:r w:rsidRPr="002B6598">
        <w:rPr>
          <w:b/>
          <w:bCs/>
          <w:sz w:val="22"/>
          <w:szCs w:val="22"/>
        </w:rPr>
        <w:t xml:space="preserve">Zadavatel upozorňuje účastníky, že po uplynutí lhůty pro podání nabídek nemůže být nabídka měněna ani doplněna o údaje, které budou hodnoceny podle kritérií hodnocení. </w:t>
      </w:r>
    </w:p>
    <w:p w14:paraId="3DC6B443" w14:textId="77777777" w:rsidR="001643AD" w:rsidRPr="0025654D" w:rsidRDefault="001643AD" w:rsidP="001643AD">
      <w:pPr>
        <w:spacing w:line="276" w:lineRule="auto"/>
        <w:jc w:val="both"/>
        <w:rPr>
          <w:bCs/>
          <w:sz w:val="16"/>
          <w:szCs w:val="16"/>
        </w:rPr>
      </w:pPr>
    </w:p>
    <w:p w14:paraId="0AFE52C0" w14:textId="2DC383A9" w:rsidR="001643AD" w:rsidRDefault="001643AD" w:rsidP="001643AD">
      <w:pPr>
        <w:spacing w:line="276" w:lineRule="auto"/>
        <w:jc w:val="both"/>
        <w:rPr>
          <w:bCs/>
          <w:sz w:val="22"/>
          <w:szCs w:val="22"/>
          <w:u w:val="single"/>
        </w:rPr>
      </w:pPr>
      <w:r w:rsidRPr="002B6598">
        <w:rPr>
          <w:bCs/>
          <w:sz w:val="22"/>
          <w:szCs w:val="22"/>
        </w:rPr>
        <w:t xml:space="preserve">Zadavatel má právo si v případě pochybností ověřovat pravdivost uvedených údajů např. u objednatelů či z veřejných zdrojů. </w:t>
      </w:r>
      <w:r w:rsidRPr="002B6598">
        <w:rPr>
          <w:bCs/>
          <w:sz w:val="22"/>
          <w:szCs w:val="22"/>
          <w:u w:val="single"/>
        </w:rPr>
        <w:t>Zadavatel upozorňuje účastníky, že pokud takovým ověřením zjistí, že údaje či doklady předložené účastníkem neodpovídají skutečnosti, bude postupovat v souladu s ustanovením § 48 odst. 8 ZZVZ.</w:t>
      </w:r>
    </w:p>
    <w:p w14:paraId="409EBD0A" w14:textId="77777777" w:rsidR="00755BCB" w:rsidRPr="002B6598" w:rsidRDefault="00755BCB" w:rsidP="001643AD">
      <w:pPr>
        <w:spacing w:line="276" w:lineRule="auto"/>
        <w:jc w:val="both"/>
        <w:rPr>
          <w:bCs/>
          <w:sz w:val="22"/>
          <w:szCs w:val="22"/>
          <w:u w:val="single"/>
        </w:rPr>
      </w:pPr>
    </w:p>
    <w:p w14:paraId="74EA4C4D" w14:textId="0EDA4ECB" w:rsidR="001643AD" w:rsidRPr="002B6598" w:rsidRDefault="001643AD" w:rsidP="001643AD">
      <w:pPr>
        <w:spacing w:line="276" w:lineRule="auto"/>
        <w:jc w:val="both"/>
        <w:rPr>
          <w:sz w:val="22"/>
          <w:szCs w:val="22"/>
        </w:rPr>
      </w:pPr>
      <w:r w:rsidRPr="002B6598">
        <w:rPr>
          <w:sz w:val="22"/>
          <w:szCs w:val="22"/>
        </w:rPr>
        <w:t xml:space="preserve">Není povinností dodavatele předložit referenční zakázky pro hodnocení. Pokud dodavatel nedoložil v nabídce přílohu č. </w:t>
      </w:r>
      <w:r w:rsidR="0042558C">
        <w:rPr>
          <w:sz w:val="22"/>
          <w:szCs w:val="22"/>
        </w:rPr>
        <w:t>2</w:t>
      </w:r>
      <w:r w:rsidRPr="002B6598">
        <w:rPr>
          <w:sz w:val="22"/>
          <w:szCs w:val="22"/>
        </w:rPr>
        <w:t xml:space="preserve"> Z</w:t>
      </w:r>
      <w:r w:rsidRPr="002B6598">
        <w:rPr>
          <w:i/>
          <w:sz w:val="22"/>
          <w:szCs w:val="22"/>
        </w:rPr>
        <w:t xml:space="preserve">kušenosti </w:t>
      </w:r>
      <w:r w:rsidR="000F467C">
        <w:rPr>
          <w:i/>
          <w:sz w:val="22"/>
          <w:szCs w:val="22"/>
        </w:rPr>
        <w:t>TDS</w:t>
      </w:r>
      <w:r w:rsidRPr="002B6598">
        <w:rPr>
          <w:i/>
          <w:sz w:val="22"/>
          <w:szCs w:val="22"/>
        </w:rPr>
        <w:t xml:space="preserve"> pro hodnocení</w:t>
      </w:r>
      <w:r w:rsidRPr="002B6598">
        <w:rPr>
          <w:sz w:val="22"/>
          <w:szCs w:val="22"/>
        </w:rPr>
        <w:t>,</w:t>
      </w:r>
      <w:r w:rsidRPr="002B6598">
        <w:rPr>
          <w:i/>
          <w:sz w:val="22"/>
          <w:szCs w:val="22"/>
        </w:rPr>
        <w:t xml:space="preserve"> </w:t>
      </w:r>
      <w:r w:rsidRPr="002B6598">
        <w:rPr>
          <w:sz w:val="22"/>
          <w:szCs w:val="22"/>
        </w:rPr>
        <w:t>popř. jí doložil nevyplněnou nebo uved</w:t>
      </w:r>
      <w:r w:rsidR="0042558C">
        <w:rPr>
          <w:sz w:val="22"/>
          <w:szCs w:val="22"/>
        </w:rPr>
        <w:t>e</w:t>
      </w:r>
      <w:r w:rsidRPr="002B6598">
        <w:rPr>
          <w:sz w:val="22"/>
          <w:szCs w:val="22"/>
        </w:rPr>
        <w:t xml:space="preserve"> v samostatném dokumentu svým prohlášením, že nedokládá žádné referenční zakázky, nebude nabídka dodavatele v tomto kritériu hodnocena a automaticky obdrží 0 bodů. </w:t>
      </w:r>
    </w:p>
    <w:p w14:paraId="5B7E20DB" w14:textId="77777777" w:rsidR="001643AD" w:rsidRPr="002B6598" w:rsidRDefault="001643AD" w:rsidP="001643AD">
      <w:pPr>
        <w:spacing w:line="276" w:lineRule="auto"/>
        <w:jc w:val="both"/>
        <w:rPr>
          <w:sz w:val="22"/>
          <w:szCs w:val="22"/>
        </w:rPr>
      </w:pPr>
    </w:p>
    <w:p w14:paraId="10BF4734" w14:textId="77777777" w:rsidR="001643AD" w:rsidRPr="002B6598" w:rsidRDefault="001643AD" w:rsidP="001643AD">
      <w:pPr>
        <w:spacing w:line="276" w:lineRule="auto"/>
        <w:jc w:val="both"/>
        <w:rPr>
          <w:sz w:val="22"/>
          <w:szCs w:val="22"/>
          <w:u w:val="single"/>
        </w:rPr>
      </w:pPr>
      <w:r w:rsidRPr="002B6598">
        <w:rPr>
          <w:sz w:val="22"/>
          <w:szCs w:val="22"/>
          <w:u w:val="single"/>
        </w:rPr>
        <w:t>Postup hodnocení:</w:t>
      </w:r>
    </w:p>
    <w:p w14:paraId="0067CA50" w14:textId="69991875" w:rsidR="001643AD" w:rsidRDefault="001643AD" w:rsidP="001643AD">
      <w:pPr>
        <w:spacing w:line="276" w:lineRule="auto"/>
        <w:jc w:val="both"/>
        <w:rPr>
          <w:sz w:val="22"/>
          <w:szCs w:val="22"/>
        </w:rPr>
      </w:pPr>
      <w:r w:rsidRPr="002B6598">
        <w:rPr>
          <w:sz w:val="22"/>
          <w:szCs w:val="22"/>
        </w:rPr>
        <w:t xml:space="preserve">Do hodnocení postoupí pouze ty referenční zakázky, které budou splňovat zadavatelem výše uvedené požadavky a u kterých </w:t>
      </w:r>
      <w:r w:rsidR="00A15C96">
        <w:rPr>
          <w:sz w:val="22"/>
          <w:szCs w:val="22"/>
        </w:rPr>
        <w:t>budou předloženy doklady</w:t>
      </w:r>
      <w:r w:rsidRPr="002B6598">
        <w:rPr>
          <w:sz w:val="22"/>
          <w:szCs w:val="22"/>
        </w:rPr>
        <w:t xml:space="preserve"> potvrzující uvedené údaje, a to v max. počtu 5 zakázek. Pokud účastník uvede více než 5 zakázek, bude hodnocen maximální počet 5, a to v</w:t>
      </w:r>
      <w:r w:rsidR="00855694">
        <w:rPr>
          <w:sz w:val="22"/>
          <w:szCs w:val="22"/>
        </w:rPr>
        <w:t> </w:t>
      </w:r>
      <w:r w:rsidRPr="002B6598">
        <w:rPr>
          <w:sz w:val="22"/>
          <w:szCs w:val="22"/>
        </w:rPr>
        <w:t>pořadí</w:t>
      </w:r>
      <w:r w:rsidR="00855694">
        <w:rPr>
          <w:sz w:val="22"/>
          <w:szCs w:val="22"/>
        </w:rPr>
        <w:t>,</w:t>
      </w:r>
      <w:r w:rsidRPr="002B6598">
        <w:rPr>
          <w:sz w:val="22"/>
          <w:szCs w:val="22"/>
        </w:rPr>
        <w:t xml:space="preserve"> jak jsou uvedeny v příloze č. </w:t>
      </w:r>
      <w:r w:rsidR="00C30EE6">
        <w:rPr>
          <w:sz w:val="22"/>
          <w:szCs w:val="22"/>
        </w:rPr>
        <w:t>2</w:t>
      </w:r>
      <w:r w:rsidRPr="002B6598">
        <w:rPr>
          <w:sz w:val="22"/>
          <w:szCs w:val="22"/>
        </w:rPr>
        <w:t xml:space="preserve"> Z</w:t>
      </w:r>
      <w:r w:rsidRPr="002B6598">
        <w:rPr>
          <w:i/>
          <w:sz w:val="22"/>
          <w:szCs w:val="22"/>
        </w:rPr>
        <w:t xml:space="preserve">kušenosti </w:t>
      </w:r>
      <w:r w:rsidR="000F467C">
        <w:rPr>
          <w:i/>
          <w:sz w:val="22"/>
          <w:szCs w:val="22"/>
        </w:rPr>
        <w:t>TDS</w:t>
      </w:r>
      <w:r w:rsidRPr="002B6598">
        <w:rPr>
          <w:i/>
          <w:sz w:val="22"/>
          <w:szCs w:val="22"/>
        </w:rPr>
        <w:t xml:space="preserve"> pro hodnocení</w:t>
      </w:r>
      <w:r w:rsidRPr="002B6598">
        <w:rPr>
          <w:sz w:val="22"/>
          <w:szCs w:val="22"/>
        </w:rPr>
        <w:t xml:space="preserve"> na pozicích (řádcích) č. 1 až 5 s tím, že na ostatní uvedené referenční zakázky nebude zadavatel brát zřetel, tj., v případě, že některé referenční zakázky na pozici č. 1 až 5 zadavatel neuzná k hodnocení, </w:t>
      </w:r>
      <w:r w:rsidRPr="00D03D79">
        <w:rPr>
          <w:b/>
          <w:sz w:val="22"/>
          <w:szCs w:val="22"/>
        </w:rPr>
        <w:t>nedojde</w:t>
      </w:r>
      <w:r w:rsidRPr="002B6598">
        <w:rPr>
          <w:sz w:val="22"/>
          <w:szCs w:val="22"/>
        </w:rPr>
        <w:t xml:space="preserve"> k jejich nahrazení zakázkami uvedenými na pozici č. 6 a výše. </w:t>
      </w:r>
    </w:p>
    <w:p w14:paraId="314C298E" w14:textId="77777777" w:rsidR="00085C0A" w:rsidRPr="002B6598" w:rsidRDefault="00085C0A" w:rsidP="001643AD">
      <w:pPr>
        <w:spacing w:line="276" w:lineRule="auto"/>
        <w:jc w:val="both"/>
        <w:rPr>
          <w:sz w:val="22"/>
          <w:szCs w:val="22"/>
        </w:rPr>
      </w:pPr>
    </w:p>
    <w:p w14:paraId="120CA1BB" w14:textId="7F79B1B7" w:rsidR="0009798B" w:rsidRPr="002B6598" w:rsidRDefault="0009798B" w:rsidP="0009798B">
      <w:pPr>
        <w:jc w:val="both"/>
        <w:rPr>
          <w:sz w:val="22"/>
          <w:szCs w:val="22"/>
        </w:rPr>
      </w:pPr>
      <w:r w:rsidRPr="002B6598">
        <w:rPr>
          <w:sz w:val="22"/>
          <w:szCs w:val="22"/>
        </w:rPr>
        <w:t xml:space="preserve">Každá z referenčních zakázek, která </w:t>
      </w:r>
      <w:r w:rsidRPr="002B6598">
        <w:rPr>
          <w:sz w:val="22"/>
          <w:szCs w:val="22"/>
          <w:u w:val="single"/>
        </w:rPr>
        <w:t>vyhoví požadavkům</w:t>
      </w:r>
      <w:r w:rsidRPr="002B6598">
        <w:rPr>
          <w:sz w:val="22"/>
          <w:szCs w:val="22"/>
        </w:rPr>
        <w:t xml:space="preserve">, bude následně zohledněna pro účely hodnocení prostřednictvím bodového hodnocení přiděleného jednotlivým zakázkám dle jejich významu ve vazbě na </w:t>
      </w:r>
      <w:r w:rsidR="00A15C96">
        <w:rPr>
          <w:sz w:val="22"/>
          <w:szCs w:val="22"/>
        </w:rPr>
        <w:t>finanční hodnotě</w:t>
      </w:r>
      <w:r w:rsidR="00A15C96" w:rsidRPr="002B6598">
        <w:rPr>
          <w:sz w:val="22"/>
          <w:szCs w:val="22"/>
        </w:rPr>
        <w:t xml:space="preserve"> </w:t>
      </w:r>
      <w:r w:rsidRPr="002B6598">
        <w:rPr>
          <w:sz w:val="22"/>
          <w:szCs w:val="22"/>
        </w:rPr>
        <w:t>dozorované stavby v Kč bez DPH, a to následovně:</w:t>
      </w:r>
    </w:p>
    <w:tbl>
      <w:tblPr>
        <w:tblStyle w:val="Mkatabulky"/>
        <w:tblW w:w="0" w:type="auto"/>
        <w:tblLook w:val="04A0" w:firstRow="1" w:lastRow="0" w:firstColumn="1" w:lastColumn="0" w:noHBand="0" w:noVBand="1"/>
      </w:tblPr>
      <w:tblGrid>
        <w:gridCol w:w="5949"/>
        <w:gridCol w:w="2268"/>
      </w:tblGrid>
      <w:tr w:rsidR="00A93590" w:rsidRPr="002B6598" w14:paraId="0EEC9550" w14:textId="77777777" w:rsidTr="00B76CC7">
        <w:tc>
          <w:tcPr>
            <w:tcW w:w="5949" w:type="dxa"/>
          </w:tcPr>
          <w:p w14:paraId="58037A86" w14:textId="436EA00A" w:rsidR="00A93590" w:rsidRPr="002B6598" w:rsidRDefault="00DF2DB3" w:rsidP="00B76CC7">
            <w:pPr>
              <w:jc w:val="both"/>
              <w:rPr>
                <w:sz w:val="22"/>
                <w:szCs w:val="22"/>
              </w:rPr>
            </w:pPr>
            <w:r>
              <w:rPr>
                <w:sz w:val="22"/>
                <w:szCs w:val="22"/>
              </w:rPr>
              <w:t>1</w:t>
            </w:r>
            <w:r w:rsidR="002E6AF8" w:rsidRPr="002B6598">
              <w:rPr>
                <w:sz w:val="22"/>
                <w:szCs w:val="22"/>
              </w:rPr>
              <w:t> </w:t>
            </w:r>
            <w:r w:rsidR="00A93590" w:rsidRPr="002B6598">
              <w:rPr>
                <w:sz w:val="22"/>
                <w:szCs w:val="22"/>
              </w:rPr>
              <w:t xml:space="preserve">000 000 až </w:t>
            </w:r>
            <w:r>
              <w:rPr>
                <w:sz w:val="22"/>
                <w:szCs w:val="22"/>
              </w:rPr>
              <w:t>2</w:t>
            </w:r>
            <w:r w:rsidR="00B76B80">
              <w:rPr>
                <w:sz w:val="22"/>
                <w:szCs w:val="22"/>
              </w:rPr>
              <w:t xml:space="preserve"> 999</w:t>
            </w:r>
            <w:r w:rsidR="00B76B80" w:rsidRPr="002B6598">
              <w:rPr>
                <w:sz w:val="22"/>
                <w:szCs w:val="22"/>
              </w:rPr>
              <w:t> </w:t>
            </w:r>
            <w:r w:rsidR="00A93590" w:rsidRPr="002B6598">
              <w:rPr>
                <w:sz w:val="22"/>
                <w:szCs w:val="22"/>
              </w:rPr>
              <w:t>999,99 Kč bez DPH</w:t>
            </w:r>
          </w:p>
        </w:tc>
        <w:tc>
          <w:tcPr>
            <w:tcW w:w="2268" w:type="dxa"/>
          </w:tcPr>
          <w:p w14:paraId="1880593F" w14:textId="77777777" w:rsidR="00A93590" w:rsidRPr="002B6598" w:rsidRDefault="00A93590" w:rsidP="00B76CC7">
            <w:pPr>
              <w:jc w:val="right"/>
              <w:rPr>
                <w:sz w:val="22"/>
                <w:szCs w:val="22"/>
              </w:rPr>
            </w:pPr>
            <w:r w:rsidRPr="002B6598">
              <w:rPr>
                <w:sz w:val="22"/>
                <w:szCs w:val="22"/>
              </w:rPr>
              <w:t>1 bod</w:t>
            </w:r>
          </w:p>
        </w:tc>
      </w:tr>
      <w:tr w:rsidR="00A93590" w:rsidRPr="002B6598" w14:paraId="11741E0D" w14:textId="77777777" w:rsidTr="00B76CC7">
        <w:tc>
          <w:tcPr>
            <w:tcW w:w="5949" w:type="dxa"/>
          </w:tcPr>
          <w:p w14:paraId="2528E638" w14:textId="78919944" w:rsidR="00A93590" w:rsidRPr="002B6598" w:rsidRDefault="00DF2DB3" w:rsidP="00B76CC7">
            <w:pPr>
              <w:jc w:val="both"/>
              <w:rPr>
                <w:sz w:val="22"/>
                <w:szCs w:val="22"/>
              </w:rPr>
            </w:pPr>
            <w:r>
              <w:rPr>
                <w:sz w:val="22"/>
                <w:szCs w:val="22"/>
              </w:rPr>
              <w:t>3</w:t>
            </w:r>
            <w:r w:rsidR="002E6AF8" w:rsidRPr="002B6598">
              <w:rPr>
                <w:sz w:val="22"/>
                <w:szCs w:val="22"/>
              </w:rPr>
              <w:t> </w:t>
            </w:r>
            <w:r w:rsidR="00A93590" w:rsidRPr="002B6598">
              <w:rPr>
                <w:sz w:val="22"/>
                <w:szCs w:val="22"/>
              </w:rPr>
              <w:t xml:space="preserve">000 000 až </w:t>
            </w:r>
            <w:r>
              <w:rPr>
                <w:sz w:val="22"/>
                <w:szCs w:val="22"/>
              </w:rPr>
              <w:t>4</w:t>
            </w:r>
            <w:r w:rsidR="00B76B80" w:rsidRPr="002B6598">
              <w:rPr>
                <w:sz w:val="22"/>
                <w:szCs w:val="22"/>
              </w:rPr>
              <w:t> </w:t>
            </w:r>
            <w:r w:rsidR="00A93590" w:rsidRPr="002B6598">
              <w:rPr>
                <w:sz w:val="22"/>
                <w:szCs w:val="22"/>
              </w:rPr>
              <w:t xml:space="preserve">999 999,99 Kč bez DPH </w:t>
            </w:r>
          </w:p>
        </w:tc>
        <w:tc>
          <w:tcPr>
            <w:tcW w:w="2268" w:type="dxa"/>
          </w:tcPr>
          <w:p w14:paraId="2D14C91D" w14:textId="77777777" w:rsidR="00A93590" w:rsidRPr="002B6598" w:rsidRDefault="00A93590" w:rsidP="00B76CC7">
            <w:pPr>
              <w:jc w:val="right"/>
              <w:rPr>
                <w:sz w:val="22"/>
                <w:szCs w:val="22"/>
              </w:rPr>
            </w:pPr>
            <w:r w:rsidRPr="002B6598">
              <w:rPr>
                <w:sz w:val="22"/>
                <w:szCs w:val="22"/>
              </w:rPr>
              <w:t>2 body</w:t>
            </w:r>
          </w:p>
        </w:tc>
      </w:tr>
      <w:tr w:rsidR="00A93590" w:rsidRPr="002B6598" w14:paraId="42136BF1" w14:textId="77777777" w:rsidTr="00B76CC7">
        <w:tc>
          <w:tcPr>
            <w:tcW w:w="5949" w:type="dxa"/>
          </w:tcPr>
          <w:p w14:paraId="2EB19B43" w14:textId="305605CF" w:rsidR="00A93590" w:rsidRPr="002B6598" w:rsidRDefault="00A93590" w:rsidP="00B76CC7">
            <w:pPr>
              <w:jc w:val="both"/>
              <w:rPr>
                <w:sz w:val="22"/>
                <w:szCs w:val="22"/>
              </w:rPr>
            </w:pPr>
            <w:r w:rsidRPr="002B6598">
              <w:rPr>
                <w:sz w:val="22"/>
                <w:szCs w:val="22"/>
              </w:rPr>
              <w:t xml:space="preserve">Od </w:t>
            </w:r>
            <w:r w:rsidR="00DF2DB3">
              <w:rPr>
                <w:sz w:val="22"/>
                <w:szCs w:val="22"/>
              </w:rPr>
              <w:t>5</w:t>
            </w:r>
            <w:r w:rsidR="002E6AF8" w:rsidRPr="002B6598">
              <w:rPr>
                <w:sz w:val="22"/>
                <w:szCs w:val="22"/>
              </w:rPr>
              <w:t> </w:t>
            </w:r>
            <w:r w:rsidRPr="002B6598">
              <w:rPr>
                <w:sz w:val="22"/>
                <w:szCs w:val="22"/>
              </w:rPr>
              <w:t>000 000 Kč bez DPH výše</w:t>
            </w:r>
          </w:p>
        </w:tc>
        <w:tc>
          <w:tcPr>
            <w:tcW w:w="2268" w:type="dxa"/>
          </w:tcPr>
          <w:p w14:paraId="6E9E1834" w14:textId="77777777" w:rsidR="00A93590" w:rsidRPr="002B6598" w:rsidRDefault="00A93590" w:rsidP="00B76CC7">
            <w:pPr>
              <w:jc w:val="right"/>
              <w:rPr>
                <w:sz w:val="22"/>
                <w:szCs w:val="22"/>
              </w:rPr>
            </w:pPr>
            <w:r w:rsidRPr="002B6598">
              <w:rPr>
                <w:sz w:val="22"/>
                <w:szCs w:val="22"/>
              </w:rPr>
              <w:t>3 body</w:t>
            </w:r>
          </w:p>
        </w:tc>
      </w:tr>
    </w:tbl>
    <w:p w14:paraId="29ECEA6E" w14:textId="77777777" w:rsidR="0009798B" w:rsidRPr="002B6598" w:rsidRDefault="0009798B" w:rsidP="0009798B">
      <w:pPr>
        <w:jc w:val="both"/>
        <w:rPr>
          <w:sz w:val="22"/>
          <w:szCs w:val="22"/>
        </w:rPr>
      </w:pPr>
    </w:p>
    <w:p w14:paraId="02F173E7" w14:textId="102D7793" w:rsidR="0009798B" w:rsidRPr="002B6598" w:rsidRDefault="0009798B" w:rsidP="0009798B">
      <w:pPr>
        <w:jc w:val="both"/>
        <w:rPr>
          <w:sz w:val="22"/>
          <w:szCs w:val="22"/>
        </w:rPr>
      </w:pPr>
      <w:r w:rsidRPr="002B6598">
        <w:rPr>
          <w:sz w:val="22"/>
          <w:szCs w:val="22"/>
        </w:rPr>
        <w:t xml:space="preserve">Součet takto získaných bodů u všech předložených referenčních zakázek bude sloužit k hodnocení. Maximální počet bodů může tak dosáhnout </w:t>
      </w:r>
      <w:r w:rsidR="00752B92">
        <w:rPr>
          <w:sz w:val="22"/>
          <w:szCs w:val="22"/>
        </w:rPr>
        <w:t>15</w:t>
      </w:r>
      <w:r w:rsidRPr="002B6598">
        <w:rPr>
          <w:sz w:val="22"/>
          <w:szCs w:val="22"/>
        </w:rPr>
        <w:t xml:space="preserve"> bodů (tzn. 5 referenčních zakázek po 3 bodech). </w:t>
      </w:r>
    </w:p>
    <w:p w14:paraId="1E03C797" w14:textId="77777777" w:rsidR="0009798B" w:rsidRPr="002B6598" w:rsidRDefault="0009798B" w:rsidP="001643AD">
      <w:pPr>
        <w:spacing w:line="276" w:lineRule="auto"/>
        <w:jc w:val="both"/>
        <w:rPr>
          <w:sz w:val="22"/>
          <w:szCs w:val="22"/>
        </w:rPr>
      </w:pPr>
    </w:p>
    <w:p w14:paraId="28C907AD" w14:textId="77777777" w:rsidR="001643AD" w:rsidRPr="002B6598" w:rsidRDefault="001643AD" w:rsidP="001643AD">
      <w:pPr>
        <w:spacing w:line="276" w:lineRule="auto"/>
        <w:jc w:val="both"/>
        <w:rPr>
          <w:bCs/>
          <w:iCs/>
          <w:sz w:val="22"/>
          <w:szCs w:val="22"/>
        </w:rPr>
      </w:pPr>
      <w:r w:rsidRPr="002B6598">
        <w:rPr>
          <w:bCs/>
          <w:iCs/>
          <w:sz w:val="22"/>
          <w:szCs w:val="22"/>
        </w:rPr>
        <w:t>Při stanovení neváženého bodového zisku v tomto kritériu bude postupováno dle vzorce:</w:t>
      </w:r>
    </w:p>
    <w:tbl>
      <w:tblPr>
        <w:tblW w:w="0" w:type="auto"/>
        <w:tblLayout w:type="fixed"/>
        <w:tblLook w:val="0000" w:firstRow="0" w:lastRow="0" w:firstColumn="0" w:lastColumn="0" w:noHBand="0" w:noVBand="0"/>
      </w:tblPr>
      <w:tblGrid>
        <w:gridCol w:w="349"/>
        <w:gridCol w:w="5321"/>
        <w:gridCol w:w="284"/>
        <w:gridCol w:w="283"/>
        <w:gridCol w:w="2188"/>
      </w:tblGrid>
      <w:tr w:rsidR="001643AD" w:rsidRPr="002B6598" w14:paraId="670FD22F" w14:textId="77777777" w:rsidTr="00242596">
        <w:tc>
          <w:tcPr>
            <w:tcW w:w="349" w:type="dxa"/>
            <w:shd w:val="clear" w:color="auto" w:fill="auto"/>
          </w:tcPr>
          <w:p w14:paraId="5F781177" w14:textId="77777777" w:rsidR="001643AD" w:rsidRPr="00C30EE6" w:rsidRDefault="001643AD" w:rsidP="001643AD">
            <w:pPr>
              <w:spacing w:line="276" w:lineRule="auto"/>
              <w:jc w:val="both"/>
              <w:rPr>
                <w:i/>
                <w:sz w:val="40"/>
                <w:szCs w:val="40"/>
                <w:u w:val="single"/>
              </w:rPr>
            </w:pPr>
            <w:r w:rsidRPr="00C30EE6">
              <w:rPr>
                <w:bCs/>
                <w:i/>
                <w:iCs/>
                <w:sz w:val="40"/>
                <w:szCs w:val="40"/>
              </w:rPr>
              <w:t>(</w:t>
            </w:r>
          </w:p>
        </w:tc>
        <w:tc>
          <w:tcPr>
            <w:tcW w:w="5321" w:type="dxa"/>
            <w:shd w:val="clear" w:color="auto" w:fill="auto"/>
          </w:tcPr>
          <w:p w14:paraId="6B2494A7" w14:textId="77777777" w:rsidR="00242596" w:rsidRPr="002B6598" w:rsidRDefault="00242596" w:rsidP="001643AD">
            <w:pPr>
              <w:spacing w:line="276" w:lineRule="auto"/>
              <w:jc w:val="both"/>
              <w:rPr>
                <w:bCs/>
                <w:i/>
                <w:iCs/>
                <w:sz w:val="22"/>
                <w:szCs w:val="22"/>
              </w:rPr>
            </w:pPr>
            <w:r w:rsidRPr="002B6598">
              <w:rPr>
                <w:i/>
                <w:sz w:val="22"/>
                <w:szCs w:val="22"/>
                <w:u w:val="single"/>
              </w:rPr>
              <w:t>dosažený</w:t>
            </w:r>
            <w:r w:rsidR="001643AD" w:rsidRPr="002B6598">
              <w:rPr>
                <w:i/>
                <w:sz w:val="22"/>
                <w:szCs w:val="22"/>
                <w:u w:val="single"/>
              </w:rPr>
              <w:t xml:space="preserve"> počet</w:t>
            </w:r>
            <w:r w:rsidRPr="002B6598">
              <w:rPr>
                <w:i/>
                <w:sz w:val="22"/>
                <w:szCs w:val="22"/>
                <w:u w:val="single"/>
              </w:rPr>
              <w:t xml:space="preserve"> bodů za</w:t>
            </w:r>
            <w:r w:rsidR="001643AD" w:rsidRPr="002B6598">
              <w:rPr>
                <w:i/>
                <w:sz w:val="22"/>
                <w:szCs w:val="22"/>
                <w:u w:val="single"/>
              </w:rPr>
              <w:t xml:space="preserve"> referenční zakáz</w:t>
            </w:r>
            <w:r w:rsidRPr="002B6598">
              <w:rPr>
                <w:i/>
                <w:sz w:val="22"/>
                <w:szCs w:val="22"/>
                <w:u w:val="single"/>
              </w:rPr>
              <w:t>ky</w:t>
            </w:r>
          </w:p>
          <w:p w14:paraId="4CE765DD" w14:textId="267AF319" w:rsidR="001643AD" w:rsidRPr="002B6598" w:rsidRDefault="001643AD" w:rsidP="001643AD">
            <w:pPr>
              <w:spacing w:line="276" w:lineRule="auto"/>
              <w:jc w:val="both"/>
              <w:rPr>
                <w:bCs/>
                <w:i/>
                <w:iCs/>
                <w:sz w:val="22"/>
                <w:szCs w:val="22"/>
              </w:rPr>
            </w:pPr>
            <w:r w:rsidRPr="002B6598">
              <w:rPr>
                <w:bCs/>
                <w:i/>
                <w:iCs/>
                <w:sz w:val="22"/>
                <w:szCs w:val="22"/>
              </w:rPr>
              <w:t xml:space="preserve">nejvyšší dosažený počet </w:t>
            </w:r>
            <w:r w:rsidR="00242596" w:rsidRPr="002B6598">
              <w:rPr>
                <w:bCs/>
                <w:i/>
                <w:iCs/>
                <w:sz w:val="22"/>
                <w:szCs w:val="22"/>
              </w:rPr>
              <w:t xml:space="preserve">bodů za </w:t>
            </w:r>
            <w:r w:rsidRPr="002B6598">
              <w:rPr>
                <w:bCs/>
                <w:i/>
                <w:iCs/>
                <w:sz w:val="22"/>
                <w:szCs w:val="22"/>
              </w:rPr>
              <w:t>referenční zakáz</w:t>
            </w:r>
            <w:r w:rsidR="00752B92">
              <w:rPr>
                <w:bCs/>
                <w:i/>
                <w:iCs/>
                <w:sz w:val="22"/>
                <w:szCs w:val="22"/>
              </w:rPr>
              <w:t>ky</w:t>
            </w:r>
            <w:r w:rsidRPr="002B6598">
              <w:rPr>
                <w:bCs/>
                <w:i/>
                <w:iCs/>
                <w:sz w:val="22"/>
                <w:szCs w:val="22"/>
              </w:rPr>
              <w:t xml:space="preserve">     </w:t>
            </w:r>
          </w:p>
        </w:tc>
        <w:tc>
          <w:tcPr>
            <w:tcW w:w="284" w:type="dxa"/>
            <w:shd w:val="clear" w:color="auto" w:fill="auto"/>
          </w:tcPr>
          <w:p w14:paraId="643BB842" w14:textId="77777777" w:rsidR="001643AD" w:rsidRPr="00C30EE6" w:rsidRDefault="001643AD" w:rsidP="001643AD">
            <w:pPr>
              <w:spacing w:line="276" w:lineRule="auto"/>
              <w:jc w:val="both"/>
              <w:rPr>
                <w:bCs/>
                <w:i/>
                <w:iCs/>
                <w:sz w:val="40"/>
                <w:szCs w:val="40"/>
              </w:rPr>
            </w:pPr>
            <w:r w:rsidRPr="00C30EE6">
              <w:rPr>
                <w:bCs/>
                <w:i/>
                <w:iCs/>
                <w:sz w:val="40"/>
                <w:szCs w:val="40"/>
              </w:rPr>
              <w:t>)</w:t>
            </w:r>
          </w:p>
        </w:tc>
        <w:tc>
          <w:tcPr>
            <w:tcW w:w="283" w:type="dxa"/>
            <w:shd w:val="clear" w:color="auto" w:fill="auto"/>
            <w:vAlign w:val="center"/>
          </w:tcPr>
          <w:p w14:paraId="6218A82C" w14:textId="77777777" w:rsidR="001643AD" w:rsidRPr="002B6598" w:rsidRDefault="001643AD" w:rsidP="001643AD">
            <w:pPr>
              <w:spacing w:line="276" w:lineRule="auto"/>
              <w:jc w:val="both"/>
              <w:rPr>
                <w:bCs/>
                <w:i/>
                <w:iCs/>
                <w:sz w:val="22"/>
                <w:szCs w:val="22"/>
              </w:rPr>
            </w:pPr>
            <w:r w:rsidRPr="002B6598">
              <w:rPr>
                <w:bCs/>
                <w:i/>
                <w:iCs/>
                <w:sz w:val="22"/>
                <w:szCs w:val="22"/>
              </w:rPr>
              <w:t>x</w:t>
            </w:r>
          </w:p>
        </w:tc>
        <w:tc>
          <w:tcPr>
            <w:tcW w:w="2188" w:type="dxa"/>
            <w:shd w:val="clear" w:color="auto" w:fill="auto"/>
            <w:vAlign w:val="center"/>
          </w:tcPr>
          <w:p w14:paraId="66F884E9" w14:textId="77777777" w:rsidR="001643AD" w:rsidRPr="002B6598" w:rsidRDefault="001643AD" w:rsidP="001643AD">
            <w:pPr>
              <w:spacing w:line="276" w:lineRule="auto"/>
              <w:jc w:val="both"/>
              <w:rPr>
                <w:sz w:val="22"/>
                <w:szCs w:val="22"/>
              </w:rPr>
            </w:pPr>
            <w:r w:rsidRPr="002B6598">
              <w:rPr>
                <w:bCs/>
                <w:i/>
                <w:iCs/>
                <w:sz w:val="22"/>
                <w:szCs w:val="22"/>
              </w:rPr>
              <w:t>100</w:t>
            </w:r>
          </w:p>
        </w:tc>
      </w:tr>
    </w:tbl>
    <w:p w14:paraId="64FF325C" w14:textId="77777777" w:rsidR="001643AD" w:rsidRPr="002B6598" w:rsidRDefault="001643AD" w:rsidP="001643AD">
      <w:pPr>
        <w:spacing w:line="276" w:lineRule="auto"/>
        <w:jc w:val="both"/>
        <w:rPr>
          <w:sz w:val="22"/>
          <w:szCs w:val="22"/>
        </w:rPr>
      </w:pPr>
    </w:p>
    <w:p w14:paraId="6B102B92" w14:textId="5DD04A60" w:rsidR="001643AD" w:rsidRPr="002B6598" w:rsidRDefault="001643AD" w:rsidP="001643AD">
      <w:pPr>
        <w:spacing w:line="276" w:lineRule="auto"/>
        <w:jc w:val="both"/>
        <w:rPr>
          <w:sz w:val="22"/>
          <w:szCs w:val="22"/>
        </w:rPr>
      </w:pPr>
      <w:r w:rsidRPr="002B6598">
        <w:rPr>
          <w:sz w:val="22"/>
          <w:szCs w:val="22"/>
        </w:rPr>
        <w:t xml:space="preserve">Zadavatel nepřipouští prokázání zkušenosti </w:t>
      </w:r>
      <w:r w:rsidR="00242596" w:rsidRPr="002B6598">
        <w:rPr>
          <w:sz w:val="22"/>
          <w:szCs w:val="22"/>
        </w:rPr>
        <w:t>TDS</w:t>
      </w:r>
      <w:r w:rsidRPr="002B6598">
        <w:rPr>
          <w:sz w:val="22"/>
          <w:szCs w:val="22"/>
        </w:rPr>
        <w:t xml:space="preserve"> více osobami.</w:t>
      </w:r>
    </w:p>
    <w:p w14:paraId="66645F7F" w14:textId="77777777" w:rsidR="001643AD" w:rsidRPr="002B6598" w:rsidRDefault="001643AD" w:rsidP="001643AD">
      <w:pPr>
        <w:spacing w:line="276" w:lineRule="auto"/>
        <w:jc w:val="both"/>
        <w:rPr>
          <w:sz w:val="22"/>
          <w:szCs w:val="22"/>
          <w:u w:val="single"/>
        </w:rPr>
      </w:pPr>
    </w:p>
    <w:p w14:paraId="33B074DD" w14:textId="77777777" w:rsidR="001643AD" w:rsidRPr="002B6598" w:rsidRDefault="001643AD" w:rsidP="00146106">
      <w:pPr>
        <w:spacing w:after="120" w:line="276" w:lineRule="auto"/>
        <w:jc w:val="both"/>
        <w:rPr>
          <w:b/>
          <w:sz w:val="22"/>
          <w:szCs w:val="22"/>
        </w:rPr>
      </w:pPr>
      <w:r w:rsidRPr="002B6598">
        <w:rPr>
          <w:b/>
          <w:sz w:val="22"/>
          <w:szCs w:val="22"/>
          <w:u w:val="single"/>
        </w:rPr>
        <w:t>Sestavení celkového pořadí</w:t>
      </w:r>
    </w:p>
    <w:p w14:paraId="13800114" w14:textId="77777777" w:rsidR="001643AD" w:rsidRPr="002B6598" w:rsidRDefault="001643AD" w:rsidP="001643AD">
      <w:pPr>
        <w:spacing w:line="276" w:lineRule="auto"/>
        <w:jc w:val="both"/>
        <w:rPr>
          <w:sz w:val="22"/>
          <w:szCs w:val="22"/>
        </w:rPr>
      </w:pPr>
      <w:r w:rsidRPr="002B6598">
        <w:rPr>
          <w:sz w:val="22"/>
          <w:szCs w:val="22"/>
        </w:rPr>
        <w:lastRenderedPageBreak/>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30B617FC" w14:textId="77777777" w:rsidR="001643AD" w:rsidRPr="002B6598" w:rsidRDefault="001643AD" w:rsidP="001643AD">
      <w:pPr>
        <w:spacing w:line="276" w:lineRule="auto"/>
        <w:jc w:val="both"/>
        <w:rPr>
          <w:sz w:val="22"/>
          <w:szCs w:val="22"/>
        </w:rPr>
      </w:pPr>
    </w:p>
    <w:p w14:paraId="1B2F6F23" w14:textId="05BD428F" w:rsidR="00C06858" w:rsidRPr="002B6598" w:rsidRDefault="00242596" w:rsidP="00F35920">
      <w:pPr>
        <w:pStyle w:val="Textkomente"/>
        <w:spacing w:line="276" w:lineRule="auto"/>
        <w:jc w:val="both"/>
        <w:rPr>
          <w:sz w:val="22"/>
          <w:szCs w:val="22"/>
        </w:rPr>
      </w:pPr>
      <w:r w:rsidRPr="002B6598">
        <w:rPr>
          <w:sz w:val="22"/>
          <w:szCs w:val="22"/>
        </w:rPr>
        <w:t xml:space="preserve">Dojde-li ke shodnému bodovému ohodnocení, </w:t>
      </w:r>
      <w:r w:rsidR="00C06858" w:rsidRPr="002B6598">
        <w:rPr>
          <w:sz w:val="22"/>
          <w:szCs w:val="22"/>
        </w:rPr>
        <w:t xml:space="preserve">bude vybraný dodavatel určen na základě </w:t>
      </w:r>
      <w:r w:rsidRPr="002B6598">
        <w:rPr>
          <w:sz w:val="22"/>
          <w:szCs w:val="22"/>
        </w:rPr>
        <w:t xml:space="preserve">toho, kdo z těchto shodných nejvyšších bodových zisků bude mít nižší nabídkovou cenu. V případě, že ani tak nebude možné určit nejvýhodnější nabídku, bude vybrán ten dodavatel, který bude mít v součtu referenční zakázky s vyšší uvedenou hodnotou (tedy </w:t>
      </w:r>
      <w:r w:rsidR="00C30EE6">
        <w:rPr>
          <w:sz w:val="22"/>
          <w:szCs w:val="22"/>
        </w:rPr>
        <w:t xml:space="preserve">vyšší </w:t>
      </w:r>
      <w:r w:rsidRPr="002B6598">
        <w:rPr>
          <w:sz w:val="22"/>
          <w:szCs w:val="22"/>
        </w:rPr>
        <w:t xml:space="preserve">náklady </w:t>
      </w:r>
      <w:r w:rsidR="00C30EE6">
        <w:rPr>
          <w:sz w:val="22"/>
          <w:szCs w:val="22"/>
        </w:rPr>
        <w:t xml:space="preserve">referenčních </w:t>
      </w:r>
      <w:r w:rsidRPr="002B6598">
        <w:rPr>
          <w:sz w:val="22"/>
          <w:szCs w:val="22"/>
        </w:rPr>
        <w:t xml:space="preserve">staveb). </w:t>
      </w:r>
    </w:p>
    <w:p w14:paraId="4B6DB7EA" w14:textId="77777777" w:rsidR="00435CD4" w:rsidRPr="00FE3B0C" w:rsidRDefault="00435CD4">
      <w:pPr>
        <w:jc w:val="both"/>
        <w:rPr>
          <w:b/>
          <w:bCs/>
          <w:color w:val="FF0000"/>
          <w:sz w:val="28"/>
          <w:szCs w:val="22"/>
        </w:rPr>
      </w:pPr>
    </w:p>
    <w:p w14:paraId="4A9438D4" w14:textId="77777777" w:rsidR="00415806" w:rsidRPr="003D4306" w:rsidRDefault="00D33AEC" w:rsidP="00F67227">
      <w:pPr>
        <w:numPr>
          <w:ilvl w:val="0"/>
          <w:numId w:val="1"/>
        </w:numPr>
        <w:rPr>
          <w:b/>
          <w:sz w:val="28"/>
          <w:u w:val="single"/>
        </w:rPr>
      </w:pPr>
      <w:r w:rsidRPr="003D4306">
        <w:rPr>
          <w:b/>
          <w:sz w:val="28"/>
          <w:u w:val="single"/>
        </w:rPr>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3AA2948B" w14:textId="77777777" w:rsidR="00580701" w:rsidRDefault="00580701" w:rsidP="00146106">
      <w:pPr>
        <w:spacing w:after="120" w:line="276" w:lineRule="auto"/>
        <w:jc w:val="both"/>
        <w:rPr>
          <w:sz w:val="22"/>
          <w:szCs w:val="22"/>
        </w:rPr>
      </w:pPr>
      <w:r w:rsidRPr="00580701">
        <w:rPr>
          <w:sz w:val="22"/>
          <w:szCs w:val="22"/>
        </w:rP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18C3EAFE" w14:textId="2B820E95" w:rsidR="00580701" w:rsidRPr="00580701" w:rsidRDefault="00D03D79" w:rsidP="00146106">
      <w:pPr>
        <w:spacing w:after="120" w:line="276" w:lineRule="auto"/>
        <w:jc w:val="both"/>
        <w:rPr>
          <w:sz w:val="22"/>
          <w:szCs w:val="22"/>
        </w:rPr>
      </w:pPr>
      <w:r w:rsidRPr="00D03D79">
        <w:rPr>
          <w:sz w:val="22"/>
          <w:szCs w:val="22"/>
        </w:rPr>
        <w:t>Navýšení nabídkové ceny je možné pouze v souvislosti se zvýšení sazby DPH</w:t>
      </w:r>
      <w:r>
        <w:rPr>
          <w:sz w:val="22"/>
          <w:szCs w:val="22"/>
        </w:rPr>
        <w:t xml:space="preserve">. </w:t>
      </w:r>
      <w:r w:rsidR="00580701" w:rsidRPr="00580701">
        <w:rPr>
          <w:sz w:val="22"/>
          <w:szCs w:val="22"/>
        </w:rPr>
        <w:t xml:space="preserve">Jiné podmínky pro změnu nabídkové ceny nejsou přípustné. Odpovědnost za správnost stanovení sazby DPH nese účastník. DPH bude v nabídkách ve výši platné ke dni podání nabídky. </w:t>
      </w:r>
    </w:p>
    <w:p w14:paraId="3587F5BA" w14:textId="0A297004" w:rsidR="00580701" w:rsidRPr="003538D7" w:rsidRDefault="00580701" w:rsidP="00580701">
      <w:pPr>
        <w:spacing w:line="276" w:lineRule="auto"/>
        <w:jc w:val="both"/>
        <w:rPr>
          <w:sz w:val="22"/>
          <w:szCs w:val="22"/>
          <w:u w:val="single"/>
        </w:rPr>
      </w:pPr>
      <w:r w:rsidRPr="003538D7">
        <w:rPr>
          <w:sz w:val="22"/>
          <w:szCs w:val="22"/>
          <w:u w:val="single"/>
        </w:rPr>
        <w:t xml:space="preserve">Požadavky na jednotný způsob doložení nabídkové ceny: </w:t>
      </w:r>
    </w:p>
    <w:p w14:paraId="4EC177B3" w14:textId="1C5328AF" w:rsidR="00035E10" w:rsidRPr="00C30EE6" w:rsidRDefault="00580701" w:rsidP="00035E10">
      <w:pPr>
        <w:spacing w:line="276" w:lineRule="auto"/>
        <w:jc w:val="both"/>
        <w:rPr>
          <w:sz w:val="22"/>
          <w:szCs w:val="22"/>
        </w:rPr>
      </w:pPr>
      <w:r w:rsidRPr="00580701">
        <w:rPr>
          <w:sz w:val="22"/>
          <w:szCs w:val="22"/>
        </w:rPr>
        <w:t>Celková cena v Kč bez DPH, vyčíslení DPH</w:t>
      </w:r>
      <w:r w:rsidR="000F1F63">
        <w:rPr>
          <w:sz w:val="22"/>
          <w:szCs w:val="22"/>
        </w:rPr>
        <w:t xml:space="preserve"> v Kč</w:t>
      </w:r>
      <w:r w:rsidRPr="00580701">
        <w:rPr>
          <w:sz w:val="22"/>
          <w:szCs w:val="22"/>
        </w:rPr>
        <w:t xml:space="preserve"> a celková cena včetně DPH. </w:t>
      </w:r>
      <w:r w:rsidR="00035E10">
        <w:rPr>
          <w:sz w:val="22"/>
          <w:szCs w:val="22"/>
        </w:rPr>
        <w:t>Případně nebude</w:t>
      </w:r>
      <w:r w:rsidR="00035E10" w:rsidRPr="00C30EE6">
        <w:rPr>
          <w:sz w:val="22"/>
          <w:szCs w:val="22"/>
        </w:rPr>
        <w:t xml:space="preserve"> daň vyčísl</w:t>
      </w:r>
      <w:r w:rsidR="00035E10">
        <w:rPr>
          <w:sz w:val="22"/>
          <w:szCs w:val="22"/>
        </w:rPr>
        <w:t>ena</w:t>
      </w:r>
      <w:r w:rsidR="00035E10" w:rsidRPr="00C30EE6">
        <w:rPr>
          <w:sz w:val="22"/>
          <w:szCs w:val="22"/>
        </w:rPr>
        <w:t xml:space="preserve"> a skutečnost, že není jejím plátcem, výslovně uvede v</w:t>
      </w:r>
      <w:r w:rsidR="00035E10">
        <w:rPr>
          <w:sz w:val="22"/>
          <w:szCs w:val="22"/>
        </w:rPr>
        <w:t> </w:t>
      </w:r>
      <w:r w:rsidR="00035E10" w:rsidRPr="00C30EE6">
        <w:rPr>
          <w:sz w:val="22"/>
          <w:szCs w:val="22"/>
        </w:rPr>
        <w:t>nabídce</w:t>
      </w:r>
      <w:r w:rsidR="00035E10">
        <w:rPr>
          <w:sz w:val="22"/>
          <w:szCs w:val="22"/>
        </w:rPr>
        <w:t>.</w:t>
      </w:r>
    </w:p>
    <w:p w14:paraId="5A7E10E8" w14:textId="344008B7" w:rsidR="001B4678" w:rsidRPr="00242596" w:rsidRDefault="00192629" w:rsidP="00242596">
      <w:pPr>
        <w:spacing w:line="276" w:lineRule="auto"/>
        <w:jc w:val="both"/>
        <w:rPr>
          <w:sz w:val="22"/>
          <w:szCs w:val="22"/>
        </w:rPr>
      </w:pPr>
      <w:r w:rsidRPr="00242596">
        <w:rPr>
          <w:sz w:val="22"/>
          <w:szCs w:val="22"/>
        </w:rPr>
        <w:t>Účastník doloží nabídkovou cenu vyplněním</w:t>
      </w:r>
      <w:r w:rsidR="00580701">
        <w:rPr>
          <w:sz w:val="22"/>
          <w:szCs w:val="22"/>
        </w:rPr>
        <w:t xml:space="preserve"> ceny v návrhu příkazní smlouvy</w:t>
      </w:r>
      <w:r w:rsidRPr="00242596">
        <w:rPr>
          <w:sz w:val="22"/>
          <w:szCs w:val="22"/>
        </w:rPr>
        <w:t xml:space="preserve">, která je přílohou č. </w:t>
      </w:r>
      <w:r w:rsidR="00C30EE6">
        <w:rPr>
          <w:sz w:val="22"/>
          <w:szCs w:val="22"/>
        </w:rPr>
        <w:t>1</w:t>
      </w:r>
      <w:r w:rsidRPr="00242596">
        <w:rPr>
          <w:sz w:val="22"/>
          <w:szCs w:val="22"/>
        </w:rPr>
        <w:t xml:space="preserve"> této výzvy.</w:t>
      </w:r>
      <w:r w:rsidR="0065344D" w:rsidRPr="00242596">
        <w:rPr>
          <w:sz w:val="22"/>
          <w:szCs w:val="22"/>
        </w:rPr>
        <w:t xml:space="preserve"> </w:t>
      </w:r>
    </w:p>
    <w:p w14:paraId="45DE18C8" w14:textId="7D67F64B" w:rsidR="0092313D" w:rsidRPr="00242596" w:rsidRDefault="0092313D" w:rsidP="00242596">
      <w:pPr>
        <w:spacing w:line="276" w:lineRule="auto"/>
        <w:rPr>
          <w:sz w:val="22"/>
          <w:szCs w:val="22"/>
        </w:rPr>
      </w:pPr>
    </w:p>
    <w:p w14:paraId="604E9629" w14:textId="4D734503" w:rsidR="008C7C02" w:rsidRPr="00242596" w:rsidRDefault="008C7C02" w:rsidP="00242596">
      <w:pPr>
        <w:spacing w:line="276" w:lineRule="auto"/>
        <w:jc w:val="both"/>
        <w:rPr>
          <w:color w:val="000000" w:themeColor="text1"/>
          <w:sz w:val="22"/>
          <w:szCs w:val="22"/>
        </w:rPr>
      </w:pPr>
      <w:r w:rsidRPr="00242596">
        <w:rPr>
          <w:color w:val="000000" w:themeColor="text1"/>
          <w:sz w:val="22"/>
          <w:szCs w:val="22"/>
        </w:rPr>
        <w:t xml:space="preserve">Podkladem pro zpracování </w:t>
      </w:r>
      <w:r w:rsidR="00580701">
        <w:rPr>
          <w:color w:val="000000" w:themeColor="text1"/>
          <w:sz w:val="22"/>
          <w:szCs w:val="22"/>
        </w:rPr>
        <w:t>nabídkové ceny</w:t>
      </w:r>
      <w:r w:rsidRPr="00242596">
        <w:rPr>
          <w:color w:val="000000" w:themeColor="text1"/>
          <w:sz w:val="22"/>
          <w:szCs w:val="22"/>
        </w:rPr>
        <w:t xml:space="preserve"> je tato zadávací dokumentace.</w:t>
      </w:r>
      <w:r w:rsidRPr="00242596">
        <w:rPr>
          <w:sz w:val="22"/>
          <w:szCs w:val="22"/>
        </w:rPr>
        <w:t xml:space="preserve"> Nabídková cena, pokud je uvedena na více místech nabídky včetně ceny zadávané na profil zadavatele, musí být vždy </w:t>
      </w:r>
      <w:r w:rsidR="005220FC" w:rsidRPr="00242596">
        <w:rPr>
          <w:sz w:val="22"/>
          <w:szCs w:val="22"/>
        </w:rPr>
        <w:t>shodná,</w:t>
      </w:r>
      <w:r w:rsidRPr="00242596">
        <w:rPr>
          <w:sz w:val="22"/>
          <w:szCs w:val="22"/>
        </w:rPr>
        <w:t xml:space="preserve"> a to včetně haléřových položek. </w:t>
      </w:r>
    </w:p>
    <w:p w14:paraId="41E39B28" w14:textId="0CD52660" w:rsidR="008C7C02" w:rsidRDefault="008C7C02" w:rsidP="008C7C02">
      <w:pPr>
        <w:rPr>
          <w:b/>
          <w:sz w:val="28"/>
          <w:highlight w:val="yellow"/>
          <w:u w:val="single"/>
        </w:rPr>
      </w:pPr>
    </w:p>
    <w:p w14:paraId="256605BC" w14:textId="4E8ABC27" w:rsidR="004E3835" w:rsidRPr="003D4306" w:rsidRDefault="002654EA" w:rsidP="005B07FB">
      <w:pPr>
        <w:numPr>
          <w:ilvl w:val="0"/>
          <w:numId w:val="1"/>
        </w:numPr>
        <w:rPr>
          <w:b/>
          <w:sz w:val="28"/>
          <w:u w:val="single"/>
        </w:rPr>
      </w:pPr>
      <w:r w:rsidRPr="003D4306">
        <w:rPr>
          <w:b/>
          <w:sz w:val="28"/>
          <w:u w:val="single"/>
        </w:rPr>
        <w:t>Podání nabídek</w:t>
      </w:r>
    </w:p>
    <w:p w14:paraId="55F6CCCB" w14:textId="77777777" w:rsidR="004E3835" w:rsidRPr="00242596" w:rsidRDefault="004E3835" w:rsidP="00242596">
      <w:pPr>
        <w:spacing w:line="276" w:lineRule="auto"/>
        <w:jc w:val="both"/>
        <w:rPr>
          <w:b/>
          <w:sz w:val="22"/>
          <w:szCs w:val="22"/>
        </w:rPr>
      </w:pPr>
    </w:p>
    <w:p w14:paraId="35015730" w14:textId="1D8F309B" w:rsidR="00AF534A" w:rsidRPr="0025654D" w:rsidRDefault="00A3737E" w:rsidP="0025654D">
      <w:pPr>
        <w:pStyle w:val="Zkladntextodsazen"/>
        <w:spacing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5BBE52D9" w14:textId="0657CB89" w:rsidR="00A0232B" w:rsidRPr="00242596" w:rsidRDefault="00A3737E" w:rsidP="00242596">
      <w:pPr>
        <w:widowControl w:val="0"/>
        <w:autoSpaceDE w:val="0"/>
        <w:autoSpaceDN w:val="0"/>
        <w:adjustRightInd w:val="0"/>
        <w:spacing w:line="276" w:lineRule="auto"/>
        <w:jc w:val="both"/>
        <w:rPr>
          <w:sz w:val="22"/>
          <w:szCs w:val="22"/>
        </w:rPr>
      </w:pPr>
      <w:r w:rsidRPr="00B04DEF">
        <w:rPr>
          <w:sz w:val="22"/>
          <w:szCs w:val="22"/>
        </w:rPr>
        <w:t>Nabídky musí být doručeny zadavateli do</w:t>
      </w:r>
      <w:r w:rsidR="00822B33">
        <w:rPr>
          <w:sz w:val="22"/>
          <w:szCs w:val="22"/>
        </w:rPr>
        <w:t xml:space="preserve"> </w:t>
      </w:r>
      <w:r w:rsidR="004A6686" w:rsidRPr="004A6686">
        <w:rPr>
          <w:b/>
          <w:sz w:val="22"/>
          <w:szCs w:val="22"/>
        </w:rPr>
        <w:t>14</w:t>
      </w:r>
      <w:r w:rsidR="00666B84">
        <w:rPr>
          <w:b/>
          <w:sz w:val="22"/>
          <w:szCs w:val="22"/>
        </w:rPr>
        <w:t>. 04</w:t>
      </w:r>
      <w:r w:rsidR="0025654D" w:rsidRPr="0025654D">
        <w:rPr>
          <w:b/>
          <w:sz w:val="22"/>
          <w:szCs w:val="22"/>
        </w:rPr>
        <w:t>.</w:t>
      </w:r>
      <w:r w:rsidR="00415E1A">
        <w:rPr>
          <w:b/>
          <w:sz w:val="22"/>
          <w:szCs w:val="22"/>
        </w:rPr>
        <w:t xml:space="preserve"> </w:t>
      </w:r>
      <w:r w:rsidR="0025654D" w:rsidRPr="0025654D">
        <w:rPr>
          <w:b/>
          <w:sz w:val="22"/>
          <w:szCs w:val="22"/>
        </w:rPr>
        <w:t>202</w:t>
      </w:r>
      <w:r w:rsidR="00A93590">
        <w:rPr>
          <w:b/>
          <w:sz w:val="22"/>
          <w:szCs w:val="22"/>
        </w:rPr>
        <w:t>5</w:t>
      </w:r>
      <w:r w:rsidR="0025654D">
        <w:rPr>
          <w:b/>
          <w:sz w:val="22"/>
          <w:szCs w:val="22"/>
        </w:rPr>
        <w:t xml:space="preserve"> do</w:t>
      </w:r>
      <w:r w:rsidR="0025654D" w:rsidRPr="0025654D">
        <w:rPr>
          <w:b/>
          <w:sz w:val="22"/>
          <w:szCs w:val="22"/>
        </w:rPr>
        <w:t xml:space="preserve"> 10:00</w:t>
      </w:r>
      <w:r w:rsidR="0025654D">
        <w:rPr>
          <w:b/>
          <w:sz w:val="22"/>
          <w:szCs w:val="22"/>
        </w:rPr>
        <w:t xml:space="preserve"> hodin.</w:t>
      </w:r>
    </w:p>
    <w:p w14:paraId="25CDF65D" w14:textId="77777777" w:rsidR="00AF534A" w:rsidRPr="00242596" w:rsidRDefault="00AF534A" w:rsidP="00242596">
      <w:pPr>
        <w:spacing w:line="276" w:lineRule="auto"/>
        <w:jc w:val="both"/>
        <w:rPr>
          <w:sz w:val="22"/>
          <w:szCs w:val="22"/>
        </w:rPr>
      </w:pPr>
    </w:p>
    <w:p w14:paraId="46F05E9B" w14:textId="0F7A8BD5" w:rsidR="00CA61A3" w:rsidRPr="00242596" w:rsidRDefault="00BB6C10" w:rsidP="00242596">
      <w:pPr>
        <w:spacing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účastníků </w:t>
      </w:r>
      <w:r w:rsidR="00AD0C4C" w:rsidRPr="00242596">
        <w:rPr>
          <w:sz w:val="22"/>
          <w:szCs w:val="22"/>
        </w:rPr>
        <w:t>tohoto</w:t>
      </w:r>
      <w:r w:rsidRPr="00242596">
        <w:rPr>
          <w:sz w:val="22"/>
          <w:szCs w:val="22"/>
        </w:rPr>
        <w:t xml:space="preserve"> řízení.</w:t>
      </w:r>
    </w:p>
    <w:p w14:paraId="5624D523" w14:textId="63DE0B49" w:rsidR="00CA61A3" w:rsidRPr="00242596" w:rsidRDefault="00CA61A3" w:rsidP="00242596">
      <w:pPr>
        <w:pStyle w:val="textbody"/>
        <w:spacing w:before="170" w:line="276" w:lineRule="auto"/>
        <w:rPr>
          <w:rFonts w:ascii="Times New Roman" w:eastAsia="Times New Roman" w:hAnsi="Times New Roman" w:cs="Times New Roman"/>
          <w:sz w:val="22"/>
          <w:szCs w:val="22"/>
        </w:rPr>
      </w:pPr>
      <w:r w:rsidRPr="00242596">
        <w:rPr>
          <w:rFonts w:ascii="Times New Roman" w:eastAsia="Times New Roman" w:hAnsi="Times New Roman" w:cs="Times New Roman"/>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w:t>
      </w:r>
      <w:r w:rsidR="00DF4DFC">
        <w:rPr>
          <w:rFonts w:ascii="Times New Roman" w:eastAsia="Times New Roman" w:hAnsi="Times New Roman" w:cs="Times New Roman"/>
          <w:sz w:val="22"/>
          <w:szCs w:val="22"/>
        </w:rPr>
        <w:t> </w:t>
      </w:r>
      <w:r w:rsidRPr="00242596">
        <w:rPr>
          <w:rFonts w:ascii="Times New Roman" w:eastAsia="Times New Roman" w:hAnsi="Times New Roman" w:cs="Times New Roman"/>
          <w:sz w:val="22"/>
          <w:szCs w:val="22"/>
        </w:rPr>
        <w:t>zadávacím řízení jinak než elektronickým nástrojem (tedy například emailem, datovou schránkou či v</w:t>
      </w:r>
      <w:r w:rsidR="00DF4DFC">
        <w:rPr>
          <w:rFonts w:ascii="Times New Roman" w:eastAsia="Times New Roman" w:hAnsi="Times New Roman" w:cs="Times New Roman"/>
          <w:sz w:val="22"/>
          <w:szCs w:val="22"/>
        </w:rPr>
        <w:t> </w:t>
      </w:r>
      <w:r w:rsidRPr="00242596">
        <w:rPr>
          <w:rFonts w:ascii="Times New Roman" w:eastAsia="Times New Roman" w:hAnsi="Times New Roman" w:cs="Times New Roman"/>
          <w:sz w:val="22"/>
          <w:szCs w:val="22"/>
        </w:rPr>
        <w:t>listinné podobě).</w:t>
      </w:r>
    </w:p>
    <w:p w14:paraId="5E119666" w14:textId="77777777" w:rsidR="00CA61A3" w:rsidRPr="00242596" w:rsidRDefault="00CA61A3" w:rsidP="00242596">
      <w:pPr>
        <w:spacing w:line="276" w:lineRule="auto"/>
        <w:jc w:val="both"/>
        <w:rPr>
          <w:sz w:val="22"/>
          <w:szCs w:val="22"/>
        </w:rPr>
      </w:pPr>
      <w:r w:rsidRPr="00242596">
        <w:rPr>
          <w:sz w:val="22"/>
          <w:szCs w:val="22"/>
        </w:rPr>
        <w:t xml:space="preserve">Zadavatel nenese odpovědnost za technické podmínky na straně účastníka zadávacího řízení. Zadavatel doporučuje účastníkům zadávacího řízení zohlednit zejména rychlost jejich připojení k internetu při podávání </w:t>
      </w:r>
      <w:r w:rsidRPr="00242596">
        <w:rPr>
          <w:sz w:val="22"/>
          <w:szCs w:val="22"/>
        </w:rPr>
        <w:lastRenderedPageBreak/>
        <w:t>nabídky tak, aby tato byla podána ve lhůtě pro podání nabídek (podáním nabídky se rozumí finální odeslání nabídky do nástroje po nahrání veškerých příloh!).</w:t>
      </w:r>
    </w:p>
    <w:p w14:paraId="2FFC8CD1" w14:textId="77777777" w:rsidR="00282F64" w:rsidRDefault="00282F64" w:rsidP="00777B03">
      <w:pPr>
        <w:jc w:val="both"/>
        <w:rPr>
          <w:sz w:val="28"/>
          <w:szCs w:val="28"/>
        </w:rPr>
      </w:pPr>
    </w:p>
    <w:p w14:paraId="710B71A8" w14:textId="083DC546" w:rsidR="00CA61A3" w:rsidRPr="00030B30" w:rsidRDefault="00CA61A3" w:rsidP="005B07FB">
      <w:pPr>
        <w:numPr>
          <w:ilvl w:val="0"/>
          <w:numId w:val="1"/>
        </w:numPr>
        <w:rPr>
          <w:b/>
          <w:sz w:val="28"/>
          <w:u w:val="single"/>
        </w:rPr>
      </w:pPr>
      <w:r w:rsidRPr="00030B30">
        <w:rPr>
          <w:b/>
          <w:sz w:val="28"/>
          <w:u w:val="single"/>
        </w:rPr>
        <w:t>Práva zadavatele</w:t>
      </w:r>
    </w:p>
    <w:p w14:paraId="5F141B49" w14:textId="77777777" w:rsidR="00CA61A3" w:rsidRPr="00D95A42" w:rsidRDefault="00CA61A3" w:rsidP="00D95A42">
      <w:pPr>
        <w:spacing w:line="276" w:lineRule="auto"/>
        <w:jc w:val="both"/>
        <w:rPr>
          <w:sz w:val="22"/>
          <w:szCs w:val="22"/>
        </w:rPr>
      </w:pPr>
    </w:p>
    <w:p w14:paraId="1BCE660D" w14:textId="2483207B" w:rsidR="009F2AA5" w:rsidRPr="009F2AA5" w:rsidRDefault="00CA61A3" w:rsidP="009F2AA5">
      <w:pPr>
        <w:spacing w:line="276" w:lineRule="auto"/>
        <w:jc w:val="both"/>
        <w:rPr>
          <w:sz w:val="22"/>
          <w:szCs w:val="22"/>
        </w:rPr>
      </w:pPr>
      <w:r w:rsidRPr="009F2AA5">
        <w:rPr>
          <w:sz w:val="22"/>
          <w:szCs w:val="22"/>
        </w:rPr>
        <w:t>Zadavatel si vyhrazuje právo při zadáv</w:t>
      </w:r>
      <w:r w:rsidR="000E122E" w:rsidRPr="009F2AA5">
        <w:rPr>
          <w:sz w:val="22"/>
          <w:szCs w:val="22"/>
        </w:rPr>
        <w:t>á</w:t>
      </w:r>
      <w:r w:rsidRPr="009F2AA5">
        <w:rPr>
          <w:sz w:val="22"/>
          <w:szCs w:val="22"/>
        </w:rPr>
        <w:t>ní této zakázky postupovat dle</w:t>
      </w:r>
      <w:r w:rsidR="009F2AA5" w:rsidRPr="009F2AA5">
        <w:rPr>
          <w:sz w:val="22"/>
          <w:szCs w:val="22"/>
        </w:rPr>
        <w:t xml:space="preserve"> § 46, § 48, § 48a, </w:t>
      </w:r>
      <w:r w:rsidR="0021503A">
        <w:rPr>
          <w:sz w:val="22"/>
          <w:szCs w:val="22"/>
        </w:rPr>
        <w:t xml:space="preserve">§ 113, </w:t>
      </w:r>
      <w:r w:rsidR="009F2AA5" w:rsidRPr="009F2AA5">
        <w:rPr>
          <w:sz w:val="22"/>
          <w:szCs w:val="22"/>
        </w:rPr>
        <w:t>§ 124, § 125 a §127 ZZVZ.</w:t>
      </w:r>
    </w:p>
    <w:p w14:paraId="417AFD07" w14:textId="77727714" w:rsidR="006E1815" w:rsidRDefault="00BD29DE" w:rsidP="00752B92">
      <w:pPr>
        <w:jc w:val="both"/>
        <w:rPr>
          <w:sz w:val="22"/>
          <w:szCs w:val="22"/>
        </w:rPr>
      </w:pPr>
      <w:r w:rsidRPr="00713CB7">
        <w:rPr>
          <w:sz w:val="22"/>
          <w:szCs w:val="22"/>
        </w:rPr>
        <w:t>Zadavatel nepřipouští dle § 102 ZZVZ variantní řešení.</w:t>
      </w:r>
    </w:p>
    <w:p w14:paraId="601906A7" w14:textId="28BA27DF" w:rsidR="00F510A2" w:rsidRDefault="00F510A2" w:rsidP="00F510A2">
      <w:pPr>
        <w:rPr>
          <w:sz w:val="22"/>
          <w:szCs w:val="22"/>
        </w:rPr>
      </w:pPr>
      <w:r>
        <w:rPr>
          <w:sz w:val="22"/>
          <w:szCs w:val="22"/>
        </w:rPr>
        <w:t xml:space="preserve">Zadavatel si vyhrazuje právo </w:t>
      </w:r>
      <w:r w:rsidR="005A084E">
        <w:rPr>
          <w:sz w:val="22"/>
          <w:szCs w:val="22"/>
        </w:rPr>
        <w:t>zrušit řízení</w:t>
      </w:r>
      <w:bookmarkStart w:id="10" w:name="_GoBack"/>
      <w:bookmarkEnd w:id="10"/>
      <w:r>
        <w:rPr>
          <w:sz w:val="22"/>
          <w:szCs w:val="22"/>
        </w:rPr>
        <w:t>.</w:t>
      </w:r>
    </w:p>
    <w:p w14:paraId="7D4F23B0" w14:textId="77777777" w:rsidR="00F510A2" w:rsidRDefault="00F510A2" w:rsidP="00752B92">
      <w:pPr>
        <w:jc w:val="both"/>
        <w:rPr>
          <w:sz w:val="22"/>
          <w:szCs w:val="22"/>
        </w:rPr>
      </w:pPr>
    </w:p>
    <w:p w14:paraId="6D42B779" w14:textId="77777777" w:rsidR="00BD29DE" w:rsidRPr="00752B92" w:rsidRDefault="00BD29DE" w:rsidP="00752B92">
      <w:pPr>
        <w:jc w:val="both"/>
        <w:rPr>
          <w:sz w:val="28"/>
          <w:szCs w:val="28"/>
        </w:rPr>
      </w:pPr>
    </w:p>
    <w:p w14:paraId="0D387B3B" w14:textId="68A235F6" w:rsidR="009A27F4" w:rsidRPr="009A27F4" w:rsidRDefault="009A27F4" w:rsidP="00F9674E">
      <w:pPr>
        <w:numPr>
          <w:ilvl w:val="0"/>
          <w:numId w:val="1"/>
        </w:numPr>
        <w:ind w:left="426" w:hanging="426"/>
        <w:rPr>
          <w:b/>
          <w:sz w:val="28"/>
          <w:u w:val="single"/>
        </w:rPr>
      </w:pPr>
      <w:r w:rsidRPr="009A27F4">
        <w:rPr>
          <w:b/>
          <w:sz w:val="28"/>
          <w:u w:val="single"/>
        </w:rPr>
        <w:t>Prohlídka místa plnění veřejné zakázky a kontaktní osoby</w:t>
      </w:r>
    </w:p>
    <w:p w14:paraId="4ADC3EB4" w14:textId="77777777" w:rsidR="009A27F4" w:rsidRPr="00F9674E" w:rsidRDefault="009A27F4" w:rsidP="00C30EE6">
      <w:pPr>
        <w:spacing w:line="276" w:lineRule="auto"/>
        <w:rPr>
          <w:b/>
          <w:sz w:val="22"/>
          <w:szCs w:val="22"/>
          <w:u w:val="single"/>
        </w:rPr>
      </w:pPr>
    </w:p>
    <w:p w14:paraId="7E5E6909" w14:textId="77777777" w:rsidR="009A27F4" w:rsidRPr="009A27F4" w:rsidRDefault="009A27F4" w:rsidP="00C30EE6">
      <w:pPr>
        <w:spacing w:line="276" w:lineRule="auto"/>
        <w:jc w:val="both"/>
        <w:rPr>
          <w:sz w:val="22"/>
          <w:szCs w:val="22"/>
        </w:rPr>
      </w:pPr>
      <w:r w:rsidRPr="009A27F4">
        <w:rPr>
          <w:sz w:val="22"/>
          <w:szCs w:val="22"/>
        </w:rPr>
        <w:t>S ohledem na předmět plnění veřejné zakázky zadavatel prohlídku místa plnění neorganizuje.</w:t>
      </w:r>
    </w:p>
    <w:p w14:paraId="06F082D2" w14:textId="4742D4EB" w:rsidR="009A27F4" w:rsidRPr="009A27F4" w:rsidRDefault="009A27F4" w:rsidP="00C30EE6">
      <w:pPr>
        <w:spacing w:line="276" w:lineRule="auto"/>
        <w:jc w:val="both"/>
        <w:rPr>
          <w:sz w:val="22"/>
          <w:szCs w:val="22"/>
          <w:u w:val="single"/>
        </w:rPr>
      </w:pPr>
      <w:r w:rsidRPr="009A27F4">
        <w:rPr>
          <w:sz w:val="22"/>
          <w:szCs w:val="22"/>
        </w:rPr>
        <w:t xml:space="preserve">Kontaktní osobou pro zadávací řízení je </w:t>
      </w:r>
      <w:r w:rsidR="001A761D">
        <w:rPr>
          <w:sz w:val="22"/>
          <w:szCs w:val="22"/>
        </w:rPr>
        <w:t>Ing. Veronika Redlová</w:t>
      </w:r>
      <w:r w:rsidRPr="009A27F4">
        <w:rPr>
          <w:sz w:val="22"/>
          <w:szCs w:val="22"/>
        </w:rPr>
        <w:t>, e-mail:</w:t>
      </w:r>
      <w:r w:rsidRPr="009A27F4">
        <w:rPr>
          <w:sz w:val="22"/>
          <w:szCs w:val="22"/>
          <w:u w:val="single"/>
        </w:rPr>
        <w:t xml:space="preserve"> </w:t>
      </w:r>
      <w:hyperlink r:id="rId12" w:history="1">
        <w:r w:rsidR="001A761D" w:rsidRPr="00A5146D">
          <w:rPr>
            <w:rStyle w:val="Hypertextovodkaz"/>
            <w:sz w:val="22"/>
            <w:szCs w:val="22"/>
          </w:rPr>
          <w:t>veronika.redlova@kr-karlovarsky.cz</w:t>
        </w:r>
      </w:hyperlink>
    </w:p>
    <w:p w14:paraId="4A5F4695" w14:textId="77777777" w:rsidR="00035E10" w:rsidRPr="009A27F4" w:rsidRDefault="00035E10" w:rsidP="009A27F4">
      <w:pPr>
        <w:jc w:val="both"/>
        <w:rPr>
          <w:sz w:val="28"/>
          <w:szCs w:val="28"/>
        </w:rPr>
      </w:pPr>
    </w:p>
    <w:p w14:paraId="6750E985" w14:textId="255A7B97" w:rsidR="00397FA6" w:rsidRDefault="0011496A" w:rsidP="00F9674E">
      <w:pPr>
        <w:numPr>
          <w:ilvl w:val="0"/>
          <w:numId w:val="1"/>
        </w:numPr>
        <w:ind w:left="426" w:hanging="426"/>
        <w:rPr>
          <w:b/>
          <w:sz w:val="28"/>
          <w:u w:val="single"/>
        </w:rPr>
      </w:pPr>
      <w:r>
        <w:rPr>
          <w:b/>
          <w:sz w:val="28"/>
          <w:u w:val="single"/>
        </w:rPr>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3E802DBA" w14:textId="14EDECE3" w:rsidR="00E9240B" w:rsidRDefault="001F3351" w:rsidP="008B2AE6">
      <w:pPr>
        <w:numPr>
          <w:ilvl w:val="12"/>
          <w:numId w:val="0"/>
        </w:numPr>
        <w:spacing w:line="276" w:lineRule="auto"/>
        <w:jc w:val="both"/>
        <w:rPr>
          <w:sz w:val="22"/>
          <w:szCs w:val="22"/>
        </w:rPr>
      </w:pPr>
      <w:r w:rsidRPr="00D95A42">
        <w:rPr>
          <w:sz w:val="22"/>
          <w:szCs w:val="22"/>
        </w:rPr>
        <w:t>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a vyhodnotil, že zásady uplatněné dle § 6 odst. 4 ZZVZ v rámci této veřejné zakázky zadavatel pokládá za neúčelné a nepřinesly by relevantní efekt</w:t>
      </w:r>
    </w:p>
    <w:p w14:paraId="06A5810F" w14:textId="77777777" w:rsidR="00237361" w:rsidRPr="00D95A42" w:rsidRDefault="00237361" w:rsidP="008B2AE6">
      <w:pPr>
        <w:numPr>
          <w:ilvl w:val="12"/>
          <w:numId w:val="0"/>
        </w:numPr>
        <w:spacing w:line="276" w:lineRule="auto"/>
        <w:jc w:val="both"/>
        <w:rPr>
          <w:sz w:val="28"/>
          <w:szCs w:val="28"/>
        </w:rPr>
      </w:pPr>
    </w:p>
    <w:p w14:paraId="737D81E6" w14:textId="2BF135B5" w:rsidR="00DB5306" w:rsidRPr="003D4306" w:rsidRDefault="00DB5306" w:rsidP="00F9674E">
      <w:pPr>
        <w:numPr>
          <w:ilvl w:val="0"/>
          <w:numId w:val="1"/>
        </w:numPr>
        <w:ind w:left="426" w:hanging="426"/>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43B939BF" w14:textId="77777777" w:rsidR="00713CB7" w:rsidRDefault="00A3737E" w:rsidP="00C30EE6">
      <w:pPr>
        <w:numPr>
          <w:ilvl w:val="12"/>
          <w:numId w:val="0"/>
        </w:numPr>
        <w:spacing w:line="276" w:lineRule="auto"/>
        <w:jc w:val="both"/>
        <w:rPr>
          <w:sz w:val="22"/>
          <w:szCs w:val="22"/>
        </w:rPr>
      </w:pPr>
      <w:r w:rsidRPr="00D95A42">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6359BAF5" w14:textId="67C7C538" w:rsidR="00713CB7" w:rsidRPr="00713CB7" w:rsidRDefault="00713CB7" w:rsidP="00C30EE6">
      <w:pPr>
        <w:numPr>
          <w:ilvl w:val="12"/>
          <w:numId w:val="0"/>
        </w:numPr>
        <w:spacing w:line="276" w:lineRule="auto"/>
        <w:jc w:val="both"/>
        <w:rPr>
          <w:sz w:val="22"/>
          <w:szCs w:val="22"/>
        </w:rPr>
      </w:pPr>
    </w:p>
    <w:p w14:paraId="1FFE0FB6" w14:textId="77777777" w:rsidR="009F2AA5" w:rsidRPr="00752B92" w:rsidRDefault="009F2AA5" w:rsidP="00752B92">
      <w:pPr>
        <w:jc w:val="both"/>
        <w:rPr>
          <w:sz w:val="28"/>
          <w:szCs w:val="28"/>
        </w:rPr>
      </w:pPr>
    </w:p>
    <w:p w14:paraId="2D613CD6" w14:textId="1725B14D" w:rsidR="00777B03" w:rsidRPr="00217B48" w:rsidRDefault="00F62D4E" w:rsidP="00F9674E">
      <w:pPr>
        <w:numPr>
          <w:ilvl w:val="0"/>
          <w:numId w:val="1"/>
        </w:numPr>
        <w:ind w:left="426" w:hanging="426"/>
        <w:rPr>
          <w:b/>
          <w:sz w:val="28"/>
          <w:u w:val="single"/>
        </w:rPr>
      </w:pPr>
      <w:r w:rsidRPr="003D4306">
        <w:rPr>
          <w:b/>
          <w:sz w:val="28"/>
          <w:u w:val="single"/>
        </w:rPr>
        <w:t>Identifikační údaje zadavatele</w:t>
      </w:r>
    </w:p>
    <w:p w14:paraId="73A00EC9" w14:textId="77777777" w:rsidR="00BE4ED8" w:rsidRDefault="00BE4ED8" w:rsidP="00C30EE6">
      <w:pPr>
        <w:spacing w:line="276" w:lineRule="auto"/>
        <w:rPr>
          <w:b/>
          <w:sz w:val="22"/>
          <w:szCs w:val="22"/>
        </w:rPr>
      </w:pPr>
    </w:p>
    <w:p w14:paraId="26F34720" w14:textId="0C154694" w:rsidR="00D13535" w:rsidRPr="003538D7" w:rsidRDefault="00546DE7" w:rsidP="00C30EE6">
      <w:pPr>
        <w:spacing w:line="276" w:lineRule="auto"/>
        <w:rPr>
          <w:b/>
          <w:sz w:val="22"/>
          <w:szCs w:val="22"/>
        </w:rPr>
      </w:pPr>
      <w:r>
        <w:rPr>
          <w:b/>
          <w:sz w:val="22"/>
          <w:szCs w:val="22"/>
        </w:rPr>
        <w:t>Zadavatel</w:t>
      </w:r>
      <w:r w:rsidR="00D13535" w:rsidRPr="003538D7">
        <w:rPr>
          <w:b/>
          <w:sz w:val="22"/>
          <w:szCs w:val="22"/>
        </w:rPr>
        <w:t>:</w:t>
      </w:r>
    </w:p>
    <w:p w14:paraId="5BC052D0" w14:textId="77777777" w:rsidR="00C30EE6" w:rsidRPr="00C30EE6" w:rsidRDefault="00C30EE6" w:rsidP="00C30EE6">
      <w:pPr>
        <w:spacing w:line="276" w:lineRule="auto"/>
        <w:rPr>
          <w:b/>
          <w:sz w:val="22"/>
          <w:szCs w:val="22"/>
        </w:rPr>
      </w:pPr>
      <w:r w:rsidRPr="00C30EE6">
        <w:rPr>
          <w:sz w:val="22"/>
          <w:szCs w:val="22"/>
        </w:rPr>
        <w:t>Název:</w:t>
      </w:r>
      <w:r w:rsidRPr="00C30EE6">
        <w:rPr>
          <w:sz w:val="22"/>
          <w:szCs w:val="22"/>
        </w:rPr>
        <w:tab/>
      </w:r>
      <w:r w:rsidRPr="00C30EE6">
        <w:rPr>
          <w:b/>
          <w:sz w:val="22"/>
          <w:szCs w:val="22"/>
        </w:rPr>
        <w:tab/>
      </w:r>
      <w:r w:rsidRPr="00C30EE6">
        <w:rPr>
          <w:b/>
          <w:sz w:val="22"/>
          <w:szCs w:val="22"/>
        </w:rPr>
        <w:tab/>
      </w:r>
      <w:r w:rsidRPr="00C30EE6">
        <w:rPr>
          <w:sz w:val="22"/>
          <w:szCs w:val="22"/>
        </w:rPr>
        <w:t>Karlovarský kraj</w:t>
      </w:r>
    </w:p>
    <w:p w14:paraId="7C35E4C1" w14:textId="77777777" w:rsidR="00C30EE6" w:rsidRPr="00C30EE6" w:rsidRDefault="00C30EE6" w:rsidP="00C30EE6">
      <w:pPr>
        <w:spacing w:line="276" w:lineRule="auto"/>
        <w:rPr>
          <w:sz w:val="22"/>
          <w:szCs w:val="22"/>
        </w:rPr>
      </w:pPr>
      <w:r w:rsidRPr="00C30EE6">
        <w:rPr>
          <w:sz w:val="22"/>
          <w:szCs w:val="22"/>
        </w:rPr>
        <w:t xml:space="preserve">sídlo: </w:t>
      </w:r>
      <w:r w:rsidRPr="00C30EE6">
        <w:rPr>
          <w:sz w:val="22"/>
          <w:szCs w:val="22"/>
        </w:rPr>
        <w:tab/>
      </w:r>
      <w:r w:rsidRPr="00C30EE6">
        <w:rPr>
          <w:sz w:val="22"/>
          <w:szCs w:val="22"/>
        </w:rPr>
        <w:tab/>
      </w:r>
      <w:r w:rsidRPr="00C30EE6">
        <w:rPr>
          <w:sz w:val="22"/>
          <w:szCs w:val="22"/>
        </w:rPr>
        <w:tab/>
        <w:t>Závodní 353/88, 360 06 Karlovy Vary</w:t>
      </w:r>
    </w:p>
    <w:p w14:paraId="3A95AF3C" w14:textId="77777777" w:rsidR="00C30EE6" w:rsidRPr="00C30EE6" w:rsidRDefault="00C30EE6" w:rsidP="00C30EE6">
      <w:pPr>
        <w:spacing w:line="276" w:lineRule="auto"/>
        <w:rPr>
          <w:sz w:val="22"/>
          <w:szCs w:val="22"/>
        </w:rPr>
      </w:pPr>
      <w:r w:rsidRPr="00C30EE6">
        <w:rPr>
          <w:sz w:val="22"/>
          <w:szCs w:val="22"/>
        </w:rPr>
        <w:t xml:space="preserve">IČO: </w:t>
      </w:r>
      <w:r w:rsidRPr="00C30EE6">
        <w:rPr>
          <w:sz w:val="22"/>
          <w:szCs w:val="22"/>
        </w:rPr>
        <w:tab/>
      </w:r>
      <w:r w:rsidRPr="00C30EE6">
        <w:rPr>
          <w:sz w:val="22"/>
          <w:szCs w:val="22"/>
        </w:rPr>
        <w:tab/>
      </w:r>
      <w:r w:rsidRPr="00C30EE6">
        <w:rPr>
          <w:sz w:val="22"/>
          <w:szCs w:val="22"/>
        </w:rPr>
        <w:tab/>
        <w:t>70891168</w:t>
      </w:r>
    </w:p>
    <w:p w14:paraId="1B7052A9" w14:textId="77777777" w:rsidR="00C30EE6" w:rsidRPr="00C30EE6" w:rsidRDefault="00C30EE6" w:rsidP="00C30EE6">
      <w:pPr>
        <w:spacing w:line="276" w:lineRule="auto"/>
        <w:rPr>
          <w:sz w:val="22"/>
          <w:szCs w:val="22"/>
        </w:rPr>
      </w:pPr>
      <w:r w:rsidRPr="00C30EE6">
        <w:rPr>
          <w:sz w:val="22"/>
          <w:szCs w:val="22"/>
        </w:rPr>
        <w:t xml:space="preserve">DIČ: </w:t>
      </w:r>
      <w:r w:rsidRPr="00C30EE6">
        <w:rPr>
          <w:sz w:val="22"/>
          <w:szCs w:val="22"/>
        </w:rPr>
        <w:tab/>
      </w:r>
      <w:r w:rsidRPr="00C30EE6">
        <w:rPr>
          <w:sz w:val="22"/>
          <w:szCs w:val="22"/>
        </w:rPr>
        <w:tab/>
      </w:r>
      <w:r w:rsidRPr="00C30EE6">
        <w:rPr>
          <w:sz w:val="22"/>
          <w:szCs w:val="22"/>
        </w:rPr>
        <w:tab/>
        <w:t>CZ70891168</w:t>
      </w:r>
    </w:p>
    <w:p w14:paraId="3F1FEA45" w14:textId="17241E90" w:rsidR="00C30EE6" w:rsidRPr="00C30EE6" w:rsidRDefault="00C30EE6" w:rsidP="00C30EE6">
      <w:pPr>
        <w:spacing w:line="276" w:lineRule="auto"/>
        <w:rPr>
          <w:sz w:val="22"/>
          <w:szCs w:val="22"/>
        </w:rPr>
      </w:pPr>
      <w:r w:rsidRPr="00C30EE6">
        <w:rPr>
          <w:sz w:val="22"/>
          <w:szCs w:val="22"/>
        </w:rPr>
        <w:t>Zastoupený:</w:t>
      </w:r>
      <w:r w:rsidRPr="00C30EE6">
        <w:rPr>
          <w:sz w:val="22"/>
          <w:szCs w:val="22"/>
        </w:rPr>
        <w:tab/>
      </w:r>
      <w:r w:rsidRPr="00C30EE6">
        <w:rPr>
          <w:sz w:val="22"/>
          <w:szCs w:val="22"/>
        </w:rPr>
        <w:tab/>
      </w:r>
      <w:r w:rsidR="002E3C7B">
        <w:rPr>
          <w:sz w:val="22"/>
          <w:szCs w:val="22"/>
        </w:rPr>
        <w:t xml:space="preserve">Mgr. Janou Mračkovou </w:t>
      </w:r>
      <w:proofErr w:type="spellStart"/>
      <w:r w:rsidR="002E3C7B">
        <w:rPr>
          <w:sz w:val="22"/>
          <w:szCs w:val="22"/>
        </w:rPr>
        <w:t>Vildumetzovou</w:t>
      </w:r>
      <w:proofErr w:type="spellEnd"/>
      <w:r w:rsidRPr="00C30EE6">
        <w:rPr>
          <w:sz w:val="22"/>
          <w:szCs w:val="22"/>
        </w:rPr>
        <w:t>, hejtman</w:t>
      </w:r>
      <w:r w:rsidR="002E3C7B">
        <w:rPr>
          <w:sz w:val="22"/>
          <w:szCs w:val="22"/>
        </w:rPr>
        <w:t>kou</w:t>
      </w:r>
      <w:r w:rsidRPr="00C30EE6">
        <w:rPr>
          <w:sz w:val="22"/>
          <w:szCs w:val="22"/>
        </w:rPr>
        <w:t xml:space="preserve"> Karlovarského kraje</w:t>
      </w:r>
    </w:p>
    <w:p w14:paraId="466B40D8" w14:textId="77777777" w:rsidR="00C30EE6" w:rsidRPr="00C30EE6" w:rsidRDefault="00C30EE6" w:rsidP="00C30EE6">
      <w:pPr>
        <w:spacing w:line="276" w:lineRule="auto"/>
        <w:rPr>
          <w:sz w:val="22"/>
          <w:szCs w:val="22"/>
          <w:u w:val="single"/>
        </w:rPr>
      </w:pPr>
      <w:r w:rsidRPr="00C30EE6">
        <w:rPr>
          <w:sz w:val="22"/>
          <w:szCs w:val="22"/>
        </w:rPr>
        <w:t xml:space="preserve">Profil zadavatele: </w:t>
      </w:r>
      <w:r w:rsidRPr="00C30EE6">
        <w:rPr>
          <w:sz w:val="22"/>
          <w:szCs w:val="22"/>
        </w:rPr>
        <w:tab/>
      </w:r>
      <w:hyperlink r:id="rId13" w:history="1">
        <w:r w:rsidRPr="00C30EE6">
          <w:rPr>
            <w:rStyle w:val="Hypertextovodkaz"/>
            <w:sz w:val="22"/>
            <w:szCs w:val="22"/>
          </w:rPr>
          <w:t>https://ezak.kr-karlovarsky.cz/profile_display_2.html</w:t>
        </w:r>
      </w:hyperlink>
    </w:p>
    <w:p w14:paraId="090A130B" w14:textId="77777777" w:rsidR="002A1556" w:rsidRPr="00F9674E" w:rsidRDefault="002A1556" w:rsidP="002A1556">
      <w:pPr>
        <w:pStyle w:val="Default"/>
        <w:rPr>
          <w:sz w:val="28"/>
          <w:szCs w:val="28"/>
        </w:rPr>
      </w:pPr>
    </w:p>
    <w:p w14:paraId="31C0A7A5" w14:textId="26F64CA3" w:rsidR="00125633" w:rsidRPr="00217B48" w:rsidRDefault="00125633" w:rsidP="00F9674E">
      <w:pPr>
        <w:numPr>
          <w:ilvl w:val="0"/>
          <w:numId w:val="1"/>
        </w:numPr>
        <w:ind w:left="426" w:hanging="426"/>
        <w:rPr>
          <w:b/>
          <w:sz w:val="28"/>
          <w:u w:val="single"/>
        </w:rPr>
      </w:pPr>
      <w:r w:rsidRPr="003D4306">
        <w:rPr>
          <w:b/>
          <w:sz w:val="28"/>
          <w:u w:val="single"/>
        </w:rPr>
        <w:t>Přístup k zadávací dokumentaci</w:t>
      </w:r>
    </w:p>
    <w:p w14:paraId="10882899" w14:textId="48159AAE" w:rsidR="00511FD7" w:rsidRPr="00CF10C0" w:rsidRDefault="009B67BF" w:rsidP="003538D7">
      <w:pPr>
        <w:spacing w:line="276" w:lineRule="auto"/>
        <w:jc w:val="both"/>
        <w:rPr>
          <w:sz w:val="22"/>
          <w:szCs w:val="22"/>
        </w:rPr>
      </w:pPr>
      <w:r w:rsidRPr="00CF10C0">
        <w:rPr>
          <w:sz w:val="22"/>
          <w:szCs w:val="22"/>
        </w:rPr>
        <w:t>Zadávací dokumentace DNS je dostupná na profilu zadavatele na této adrese:</w:t>
      </w:r>
    </w:p>
    <w:p w14:paraId="34546958" w14:textId="76A53D66" w:rsidR="00364554" w:rsidRPr="004A6686" w:rsidRDefault="0080250E" w:rsidP="00217B48">
      <w:pPr>
        <w:spacing w:line="276" w:lineRule="auto"/>
        <w:jc w:val="both"/>
        <w:rPr>
          <w:rStyle w:val="Hypertextovodkaz"/>
          <w:sz w:val="22"/>
          <w:szCs w:val="22"/>
        </w:rPr>
      </w:pPr>
      <w:hyperlink r:id="rId14" w:history="1">
        <w:r w:rsidR="00364554" w:rsidRPr="004A6686">
          <w:rPr>
            <w:rStyle w:val="Hypertextovodkaz"/>
            <w:sz w:val="22"/>
            <w:szCs w:val="22"/>
          </w:rPr>
          <w:t>https://ezak.kr-karlovarsky.cz/dns00000012</w:t>
        </w:r>
      </w:hyperlink>
    </w:p>
    <w:p w14:paraId="3C31793A" w14:textId="77777777" w:rsidR="00616C9F" w:rsidRDefault="00616C9F" w:rsidP="00217B48">
      <w:pPr>
        <w:spacing w:line="276" w:lineRule="auto"/>
        <w:jc w:val="both"/>
      </w:pPr>
    </w:p>
    <w:p w14:paraId="5B9D08F1" w14:textId="0CF4BB48" w:rsidR="00217B48" w:rsidRPr="00CF10C0" w:rsidRDefault="009B67BF" w:rsidP="00217B48">
      <w:pPr>
        <w:spacing w:line="276" w:lineRule="auto"/>
        <w:jc w:val="both"/>
        <w:rPr>
          <w:rStyle w:val="Hypertextovodkaz"/>
          <w:color w:val="auto"/>
          <w:sz w:val="22"/>
          <w:szCs w:val="22"/>
          <w:u w:val="none"/>
        </w:rPr>
      </w:pPr>
      <w:r w:rsidRPr="00CF10C0">
        <w:rPr>
          <w:rStyle w:val="Hypertextovodkaz"/>
          <w:color w:val="auto"/>
          <w:sz w:val="22"/>
          <w:szCs w:val="22"/>
          <w:u w:val="none"/>
        </w:rPr>
        <w:lastRenderedPageBreak/>
        <w:t>Zadávací dokumentace této veřejné zakázky včetně všech příloh je dostupná na profilu zadavatele na této adrese</w:t>
      </w:r>
      <w:r w:rsidRPr="004A6686">
        <w:rPr>
          <w:rStyle w:val="Hypertextovodkaz"/>
          <w:color w:val="auto"/>
          <w:sz w:val="22"/>
          <w:szCs w:val="22"/>
          <w:u w:val="none"/>
        </w:rPr>
        <w:t>:</w:t>
      </w:r>
      <w:r w:rsidR="00364554" w:rsidRPr="004A6686">
        <w:rPr>
          <w:sz w:val="22"/>
          <w:szCs w:val="22"/>
        </w:rPr>
        <w:t xml:space="preserve"> </w:t>
      </w:r>
      <w:hyperlink r:id="rId15" w:history="1">
        <w:r w:rsidR="000109F2" w:rsidRPr="004A6686">
          <w:rPr>
            <w:rStyle w:val="Hypertextovodkaz"/>
            <w:sz w:val="22"/>
            <w:szCs w:val="22"/>
          </w:rPr>
          <w:t>https://ezak.kr-karlovarsky.cz/vz00008434</w:t>
        </w:r>
      </w:hyperlink>
    </w:p>
    <w:p w14:paraId="50B5A79A" w14:textId="4C329E41" w:rsidR="006A145B" w:rsidRPr="003538D7" w:rsidRDefault="006A145B" w:rsidP="003538D7">
      <w:pPr>
        <w:spacing w:line="276" w:lineRule="auto"/>
        <w:jc w:val="both"/>
        <w:rPr>
          <w:rStyle w:val="Hypertextovodkaz"/>
          <w:color w:val="auto"/>
          <w:sz w:val="22"/>
          <w:szCs w:val="22"/>
          <w:u w:val="none"/>
        </w:rPr>
      </w:pPr>
    </w:p>
    <w:p w14:paraId="6F99DF97" w14:textId="77777777" w:rsidR="004A6686" w:rsidRDefault="004A6686" w:rsidP="003538D7">
      <w:pPr>
        <w:pStyle w:val="Zkladntext2"/>
        <w:spacing w:line="276" w:lineRule="auto"/>
        <w:rPr>
          <w:sz w:val="22"/>
          <w:szCs w:val="22"/>
        </w:rPr>
      </w:pPr>
    </w:p>
    <w:p w14:paraId="595FBBF5" w14:textId="77777777" w:rsidR="004A6686" w:rsidRDefault="004A6686" w:rsidP="003538D7">
      <w:pPr>
        <w:pStyle w:val="Zkladntext2"/>
        <w:spacing w:line="276" w:lineRule="auto"/>
        <w:rPr>
          <w:sz w:val="22"/>
          <w:szCs w:val="22"/>
        </w:rPr>
      </w:pPr>
    </w:p>
    <w:p w14:paraId="709F161C" w14:textId="7D2396DE" w:rsidR="003F79C5" w:rsidRPr="004A6686" w:rsidRDefault="00CC018B" w:rsidP="003538D7">
      <w:pPr>
        <w:pStyle w:val="Zkladntext2"/>
        <w:spacing w:line="276" w:lineRule="auto"/>
        <w:rPr>
          <w:sz w:val="22"/>
          <w:szCs w:val="22"/>
        </w:rPr>
      </w:pPr>
      <w:r w:rsidRPr="003538D7">
        <w:rPr>
          <w:sz w:val="22"/>
          <w:szCs w:val="22"/>
        </w:rPr>
        <w:t xml:space="preserve"> </w:t>
      </w:r>
      <w:r w:rsidR="009055C5" w:rsidRPr="00D859F4">
        <w:rPr>
          <w:sz w:val="22"/>
          <w:szCs w:val="22"/>
        </w:rPr>
        <w:t>Karlovy</w:t>
      </w:r>
      <w:r w:rsidR="00777B03" w:rsidRPr="00D859F4">
        <w:rPr>
          <w:sz w:val="22"/>
          <w:szCs w:val="22"/>
        </w:rPr>
        <w:t xml:space="preserve"> Var</w:t>
      </w:r>
      <w:r w:rsidR="009055C5" w:rsidRPr="00D859F4">
        <w:rPr>
          <w:sz w:val="22"/>
          <w:szCs w:val="22"/>
        </w:rPr>
        <w:t>y</w:t>
      </w:r>
      <w:r w:rsidR="006B7539" w:rsidRPr="00F510A2">
        <w:rPr>
          <w:sz w:val="22"/>
          <w:szCs w:val="22"/>
        </w:rPr>
        <w:t>,</w:t>
      </w:r>
      <w:r w:rsidR="0065699F" w:rsidRPr="00F510A2">
        <w:rPr>
          <w:sz w:val="22"/>
          <w:szCs w:val="22"/>
        </w:rPr>
        <w:t xml:space="preserve"> </w:t>
      </w:r>
      <w:r w:rsidR="004A6686">
        <w:rPr>
          <w:sz w:val="22"/>
          <w:szCs w:val="22"/>
        </w:rPr>
        <w:t>04</w:t>
      </w:r>
      <w:r w:rsidR="00CF10C0" w:rsidRPr="00D859F4">
        <w:rPr>
          <w:sz w:val="22"/>
          <w:szCs w:val="22"/>
        </w:rPr>
        <w:t>.</w:t>
      </w:r>
      <w:r w:rsidR="001F3351">
        <w:rPr>
          <w:sz w:val="22"/>
          <w:szCs w:val="22"/>
        </w:rPr>
        <w:t>0</w:t>
      </w:r>
      <w:r w:rsidR="00237361">
        <w:rPr>
          <w:sz w:val="22"/>
          <w:szCs w:val="22"/>
        </w:rPr>
        <w:t>4</w:t>
      </w:r>
      <w:r w:rsidR="00CF10C0" w:rsidRPr="00D859F4">
        <w:rPr>
          <w:sz w:val="22"/>
          <w:szCs w:val="22"/>
        </w:rPr>
        <w:t>.202</w:t>
      </w:r>
      <w:r w:rsidR="00FC5B5E">
        <w:rPr>
          <w:sz w:val="22"/>
          <w:szCs w:val="22"/>
        </w:rPr>
        <w:t>5</w:t>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FD5DF4" w:rsidRPr="003538D7">
        <w:rPr>
          <w:b/>
          <w:sz w:val="22"/>
          <w:szCs w:val="22"/>
        </w:rPr>
        <w:t xml:space="preserve">  </w:t>
      </w:r>
    </w:p>
    <w:p w14:paraId="6DFC278A" w14:textId="7D85C327" w:rsidR="001120D6" w:rsidRDefault="001120D6" w:rsidP="003538D7">
      <w:pPr>
        <w:pStyle w:val="Zkladntext2"/>
        <w:spacing w:line="276" w:lineRule="auto"/>
        <w:rPr>
          <w:sz w:val="22"/>
          <w:szCs w:val="22"/>
        </w:rPr>
      </w:pPr>
    </w:p>
    <w:p w14:paraId="0F9CB046" w14:textId="77777777" w:rsidR="001120D6" w:rsidRPr="00C30EE6" w:rsidRDefault="001120D6" w:rsidP="003538D7">
      <w:pPr>
        <w:pStyle w:val="Zkladntext2"/>
        <w:spacing w:line="276" w:lineRule="auto"/>
        <w:rPr>
          <w:sz w:val="22"/>
          <w:szCs w:val="22"/>
        </w:rPr>
      </w:pPr>
    </w:p>
    <w:p w14:paraId="3B7B09D7" w14:textId="77777777" w:rsidR="00AB3D79" w:rsidRPr="003538D7" w:rsidRDefault="00AB3D79" w:rsidP="003538D7">
      <w:pPr>
        <w:pStyle w:val="Zkladntext2"/>
        <w:spacing w:line="276" w:lineRule="auto"/>
        <w:rPr>
          <w:b/>
          <w:sz w:val="22"/>
          <w:szCs w:val="22"/>
        </w:rPr>
      </w:pPr>
    </w:p>
    <w:p w14:paraId="0BB8F017" w14:textId="43688035" w:rsidR="00FD5DF4" w:rsidRPr="003538D7" w:rsidRDefault="00FD5DF4" w:rsidP="003538D7">
      <w:pPr>
        <w:pStyle w:val="Zkladntext2"/>
        <w:spacing w:line="276" w:lineRule="auto"/>
        <w:rPr>
          <w:sz w:val="22"/>
          <w:szCs w:val="22"/>
        </w:rPr>
      </w:pPr>
      <w:r w:rsidRPr="003538D7">
        <w:rPr>
          <w:b/>
          <w:sz w:val="22"/>
          <w:szCs w:val="22"/>
        </w:rPr>
        <w:t xml:space="preserve">                                                                                                                </w:t>
      </w:r>
      <w:r w:rsidR="007F3960" w:rsidRPr="003538D7">
        <w:rPr>
          <w:b/>
          <w:sz w:val="22"/>
          <w:szCs w:val="22"/>
        </w:rPr>
        <w:t>I</w:t>
      </w:r>
      <w:r w:rsidRPr="003538D7">
        <w:rPr>
          <w:b/>
          <w:sz w:val="22"/>
          <w:szCs w:val="22"/>
        </w:rPr>
        <w:t>ng. Tomáš Brtek</w:t>
      </w:r>
    </w:p>
    <w:p w14:paraId="240C97D9" w14:textId="18CCAB7C" w:rsidR="00CF10C0" w:rsidRDefault="00FD5DF4" w:rsidP="00237361">
      <w:pPr>
        <w:pStyle w:val="Zkladntext2"/>
        <w:spacing w:line="276" w:lineRule="auto"/>
        <w:rPr>
          <w:sz w:val="22"/>
          <w:szCs w:val="22"/>
        </w:rPr>
      </w:pPr>
      <w:r w:rsidRPr="003538D7">
        <w:rPr>
          <w:sz w:val="22"/>
          <w:szCs w:val="22"/>
        </w:rPr>
        <w:t xml:space="preserve">                     vedoucí odboru investic</w:t>
      </w:r>
    </w:p>
    <w:p w14:paraId="4297B14A" w14:textId="507931E2" w:rsidR="00A93A67" w:rsidRDefault="00A93A67" w:rsidP="00237361">
      <w:pPr>
        <w:pStyle w:val="Zkladntext2"/>
        <w:spacing w:line="276" w:lineRule="auto"/>
        <w:rPr>
          <w:sz w:val="22"/>
          <w:szCs w:val="22"/>
        </w:rPr>
      </w:pPr>
    </w:p>
    <w:p w14:paraId="22293D68" w14:textId="77777777" w:rsidR="00A93A67" w:rsidRPr="00C30EE6" w:rsidRDefault="00A93A67" w:rsidP="00A93A67">
      <w:pPr>
        <w:pStyle w:val="Zkladntext2"/>
        <w:spacing w:line="276" w:lineRule="auto"/>
        <w:rPr>
          <w:sz w:val="22"/>
          <w:szCs w:val="22"/>
        </w:rPr>
      </w:pPr>
      <w:r w:rsidRPr="00C30EE6">
        <w:rPr>
          <w:sz w:val="22"/>
          <w:szCs w:val="22"/>
        </w:rPr>
        <w:t xml:space="preserve">Přílohy: </w:t>
      </w:r>
    </w:p>
    <w:p w14:paraId="2325782E" w14:textId="77777777" w:rsidR="00A93A67" w:rsidRPr="003538D7" w:rsidRDefault="00A93A67" w:rsidP="00A93A67">
      <w:pPr>
        <w:spacing w:line="276" w:lineRule="auto"/>
        <w:rPr>
          <w:sz w:val="22"/>
          <w:szCs w:val="22"/>
        </w:rPr>
      </w:pPr>
      <w:r w:rsidRPr="003538D7">
        <w:rPr>
          <w:sz w:val="22"/>
          <w:szCs w:val="22"/>
        </w:rPr>
        <w:t xml:space="preserve">1) </w:t>
      </w:r>
      <w:r>
        <w:rPr>
          <w:sz w:val="22"/>
          <w:szCs w:val="22"/>
        </w:rPr>
        <w:t>Návrh příkazní smlouvy</w:t>
      </w:r>
    </w:p>
    <w:p w14:paraId="6F80356E" w14:textId="2959D9B7" w:rsidR="00A93A67" w:rsidRPr="00AF304A" w:rsidRDefault="00A93A67" w:rsidP="00A93A67">
      <w:pPr>
        <w:spacing w:line="276" w:lineRule="auto"/>
        <w:rPr>
          <w:sz w:val="22"/>
          <w:szCs w:val="22"/>
        </w:rPr>
      </w:pPr>
      <w:r w:rsidRPr="00AF304A">
        <w:rPr>
          <w:sz w:val="22"/>
          <w:szCs w:val="22"/>
        </w:rPr>
        <w:t xml:space="preserve">2) Zkušenosti </w:t>
      </w:r>
      <w:r>
        <w:rPr>
          <w:sz w:val="22"/>
          <w:szCs w:val="22"/>
        </w:rPr>
        <w:t>TDS</w:t>
      </w:r>
      <w:r w:rsidRPr="00AF304A">
        <w:rPr>
          <w:sz w:val="22"/>
          <w:szCs w:val="22"/>
        </w:rPr>
        <w:t xml:space="preserve"> pro hodnocení</w:t>
      </w:r>
    </w:p>
    <w:p w14:paraId="547B8850" w14:textId="77777777" w:rsidR="00A93A67" w:rsidRDefault="00A93A67" w:rsidP="00237361">
      <w:pPr>
        <w:pStyle w:val="Zkladntext2"/>
        <w:spacing w:line="276" w:lineRule="auto"/>
        <w:rPr>
          <w:sz w:val="22"/>
          <w:szCs w:val="22"/>
        </w:rPr>
      </w:pPr>
    </w:p>
    <w:sectPr w:rsidR="00A93A67" w:rsidSect="000F3F64">
      <w:headerReference w:type="default" r:id="rId16"/>
      <w:footerReference w:type="default" r:id="rId17"/>
      <w:headerReference w:type="first" r:id="rId18"/>
      <w:footerReference w:type="first" r:id="rId19"/>
      <w:pgSz w:w="11906" w:h="16838"/>
      <w:pgMar w:top="1573"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7270D" w14:textId="77777777" w:rsidR="00CD0FDA" w:rsidRDefault="00CD0FDA">
      <w:r>
        <w:separator/>
      </w:r>
    </w:p>
  </w:endnote>
  <w:endnote w:type="continuationSeparator" w:id="0">
    <w:p w14:paraId="06FDBC98" w14:textId="77777777" w:rsidR="00CD0FDA" w:rsidRDefault="00CD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5EE" w14:textId="4B50EB46" w:rsidR="0087392E" w:rsidRDefault="0087392E" w:rsidP="00F9674E">
    <w:pPr>
      <w:pBdr>
        <w:bottom w:val="single" w:sz="4" w:space="1" w:color="auto"/>
      </w:pBdr>
      <w:tabs>
        <w:tab w:val="left" w:pos="4140"/>
        <w:tab w:val="right" w:pos="9180"/>
      </w:tabs>
      <w:rPr>
        <w:sz w:val="18"/>
      </w:rPr>
    </w:pPr>
  </w:p>
  <w:p w14:paraId="75BC8767" w14:textId="77777777" w:rsidR="0087392E" w:rsidRDefault="0087392E" w:rsidP="0087392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5CA3603E" w14:textId="77777777" w:rsidR="0087392E" w:rsidRDefault="0087392E" w:rsidP="0087392E">
    <w:pPr>
      <w:tabs>
        <w:tab w:val="left" w:pos="4140"/>
        <w:tab w:val="right" w:pos="9180"/>
      </w:tabs>
      <w:jc w:val="center"/>
      <w:rPr>
        <w:sz w:val="16"/>
        <w:szCs w:val="16"/>
      </w:rPr>
    </w:pPr>
    <w:r w:rsidRPr="0087392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1E6B" w14:textId="77777777" w:rsidR="004D2264" w:rsidRDefault="004D2264"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064BA"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4D2264" w:rsidRDefault="004D2264"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EE5254B" w14:textId="77777777" w:rsidR="004D2264" w:rsidRDefault="004D2264" w:rsidP="004D2264">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4EDB" w14:textId="77777777" w:rsidR="00CD0FDA" w:rsidRDefault="00CD0FDA">
      <w:r>
        <w:separator/>
      </w:r>
    </w:p>
  </w:footnote>
  <w:footnote w:type="continuationSeparator" w:id="0">
    <w:p w14:paraId="272ED61B" w14:textId="77777777" w:rsidR="00CD0FDA" w:rsidRDefault="00CD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5B92" w14:textId="77777777" w:rsidR="00BE4ED8" w:rsidRDefault="008B4CAE" w:rsidP="00BE4ED8">
    <w:pPr>
      <w:pBdr>
        <w:bottom w:val="single" w:sz="4" w:space="1" w:color="auto"/>
      </w:pBdr>
      <w:rPr>
        <w:sz w:val="18"/>
        <w:szCs w:val="18"/>
      </w:rPr>
    </w:pPr>
    <w:r w:rsidRPr="002B6598">
      <w:rPr>
        <w:sz w:val="18"/>
        <w:szCs w:val="18"/>
      </w:rPr>
      <w:t xml:space="preserve">Výzva – </w:t>
    </w:r>
    <w:r w:rsidR="001A7A93" w:rsidRPr="002B6598">
      <w:rPr>
        <w:sz w:val="18"/>
        <w:szCs w:val="18"/>
      </w:rPr>
      <w:t>veřejná zakázka</w:t>
    </w:r>
    <w:r w:rsidR="0047424D" w:rsidRPr="002B6598">
      <w:rPr>
        <w:sz w:val="18"/>
        <w:szCs w:val="18"/>
      </w:rPr>
      <w:t>:</w:t>
    </w:r>
  </w:p>
  <w:p w14:paraId="33061BEC" w14:textId="7DD06AAB" w:rsidR="00BE4ED8" w:rsidRDefault="00BD0EF9" w:rsidP="00BE4ED8">
    <w:pPr>
      <w:pBdr>
        <w:bottom w:val="single" w:sz="4" w:space="1" w:color="auto"/>
      </w:pBdr>
      <w:rPr>
        <w:sz w:val="18"/>
        <w:szCs w:val="18"/>
      </w:rPr>
    </w:pPr>
    <w:r w:rsidRPr="00BD0EF9">
      <w:rPr>
        <w:sz w:val="18"/>
        <w:szCs w:val="18"/>
      </w:rPr>
      <w:t>Stavební úpravy vnitřních prostor bytové jednotky pro DOZP Vilík – výkon TDS v rámci stavebních úprav</w:t>
    </w:r>
    <w:r w:rsidR="000E45B6" w:rsidRPr="002B6598">
      <w:rPr>
        <w:sz w:val="18"/>
        <w:szCs w:val="18"/>
      </w:rPr>
      <w:tab/>
    </w:r>
  </w:p>
  <w:p w14:paraId="28D14E9C" w14:textId="58CCACA5" w:rsidR="008B4CAE" w:rsidRDefault="00BE4ED8" w:rsidP="00F9674E">
    <w:pPr>
      <w:pBdr>
        <w:bottom w:val="single" w:sz="4" w:space="1" w:color="auto"/>
      </w:pBdr>
      <w:jc w:val="right"/>
      <w:rPr>
        <w:rFonts w:ascii="Arial Black" w:hAnsi="Arial Black"/>
      </w:rPr>
    </w:pPr>
    <w:r>
      <w:rPr>
        <w:sz w:val="18"/>
        <w:szCs w:val="18"/>
      </w:rPr>
      <w:t xml:space="preserve"> </w:t>
    </w:r>
    <w:r w:rsidR="00232DEA" w:rsidRPr="002B6598">
      <w:rPr>
        <w:sz w:val="18"/>
        <w:szCs w:val="18"/>
      </w:rPr>
      <w:t xml:space="preserve">   </w:t>
    </w:r>
    <w:r w:rsidR="004D2264" w:rsidRPr="002B6598">
      <w:rPr>
        <w:sz w:val="18"/>
        <w:szCs w:val="18"/>
      </w:rPr>
      <w:t xml:space="preserve">             </w:t>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855694">
      <w:rPr>
        <w:sz w:val="18"/>
        <w:szCs w:val="18"/>
      </w:rPr>
      <w:tab/>
    </w:r>
    <w:r w:rsidR="00855694">
      <w:rPr>
        <w:sz w:val="18"/>
        <w:szCs w:val="18"/>
      </w:rPr>
      <w:tab/>
    </w:r>
    <w:r w:rsidR="008325B1" w:rsidRPr="002B6598">
      <w:rPr>
        <w:sz w:val="18"/>
        <w:szCs w:val="18"/>
      </w:rPr>
      <w:t>strana</w:t>
    </w:r>
    <w:r w:rsidR="008B4CAE" w:rsidRPr="002B6598">
      <w:rPr>
        <w:sz w:val="18"/>
        <w:szCs w:val="18"/>
      </w:rPr>
      <w:t xml:space="preserve"> </w:t>
    </w:r>
    <w:r w:rsidR="00797FB1" w:rsidRPr="002B6598">
      <w:rPr>
        <w:rStyle w:val="slostrnky"/>
        <w:sz w:val="18"/>
        <w:szCs w:val="18"/>
      </w:rPr>
      <w:fldChar w:fldCharType="begin"/>
    </w:r>
    <w:r w:rsidR="008B4CAE" w:rsidRPr="002B6598">
      <w:rPr>
        <w:rStyle w:val="slostrnky"/>
        <w:sz w:val="18"/>
        <w:szCs w:val="18"/>
      </w:rPr>
      <w:instrText xml:space="preserve"> PAGE </w:instrText>
    </w:r>
    <w:r w:rsidR="00797FB1" w:rsidRPr="002B6598">
      <w:rPr>
        <w:rStyle w:val="slostrnky"/>
        <w:sz w:val="18"/>
        <w:szCs w:val="18"/>
      </w:rPr>
      <w:fldChar w:fldCharType="separate"/>
    </w:r>
    <w:r w:rsidR="005F0F59">
      <w:rPr>
        <w:rStyle w:val="slostrnky"/>
        <w:noProof/>
        <w:sz w:val="18"/>
        <w:szCs w:val="18"/>
      </w:rPr>
      <w:t>8</w:t>
    </w:r>
    <w:r w:rsidR="00797FB1" w:rsidRPr="002B6598">
      <w:rPr>
        <w:rStyle w:val="slostrnky"/>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1CCF8A04"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w:t>
    </w:r>
    <w:r w:rsidR="00226FDA">
      <w:rPr>
        <w:rFonts w:ascii="Arial Black" w:hAnsi="Arial Black"/>
        <w:spacing w:val="-20"/>
        <w:position w:val="-6"/>
      </w:rPr>
      <w:t>–</w:t>
    </w:r>
    <w:r>
      <w:rPr>
        <w:rFonts w:ascii="Arial Black" w:hAnsi="Arial Black"/>
        <w:spacing w:val="-20"/>
        <w:position w:val="-6"/>
      </w:rPr>
      <w:t xml:space="preserve"> </w:t>
    </w:r>
    <w:r>
      <w:rPr>
        <w:rFonts w:ascii="Arial Black" w:hAnsi="Arial Black"/>
        <w:spacing w:val="-20"/>
        <w:position w:val="-6"/>
        <w:sz w:val="20"/>
      </w:rPr>
      <w:t xml:space="preserve">ODBOR INVESTIC </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DB884"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5D6FEF"/>
    <w:multiLevelType w:val="hybridMultilevel"/>
    <w:tmpl w:val="C6C88B14"/>
    <w:lvl w:ilvl="0" w:tplc="0405000F">
      <w:start w:val="1"/>
      <w:numFmt w:val="decimal"/>
      <w:pStyle w:val="NumPar1"/>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A469D8"/>
    <w:multiLevelType w:val="hybridMultilevel"/>
    <w:tmpl w:val="22B842C4"/>
    <w:lvl w:ilvl="0" w:tplc="72E899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7C0E4C"/>
    <w:multiLevelType w:val="hybridMultilevel"/>
    <w:tmpl w:val="520CED04"/>
    <w:lvl w:ilvl="0" w:tplc="E4B0B898">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22CE7217"/>
    <w:multiLevelType w:val="hybridMultilevel"/>
    <w:tmpl w:val="3C6A125C"/>
    <w:lvl w:ilvl="0" w:tplc="E5966386">
      <w:numFmt w:val="bullet"/>
      <w:lvlText w:val="-"/>
      <w:lvlJc w:val="left"/>
      <w:pPr>
        <w:ind w:left="360" w:hanging="360"/>
      </w:pPr>
      <w:rPr>
        <w:rFonts w:ascii="Calibri" w:eastAsia="Calibri" w:hAnsi="Calibri" w:cs="Calibri" w:hint="default"/>
      </w:rPr>
    </w:lvl>
    <w:lvl w:ilvl="1" w:tplc="04050003" w:tentative="1">
      <w:start w:val="1"/>
      <w:numFmt w:val="bullet"/>
      <w:lvlText w:val="o"/>
      <w:lvlJc w:val="left"/>
      <w:pPr>
        <w:ind w:left="732" w:hanging="360"/>
      </w:pPr>
      <w:rPr>
        <w:rFonts w:ascii="Courier New" w:hAnsi="Courier New" w:cs="Courier New" w:hint="default"/>
      </w:rPr>
    </w:lvl>
    <w:lvl w:ilvl="2" w:tplc="04050005" w:tentative="1">
      <w:start w:val="1"/>
      <w:numFmt w:val="bullet"/>
      <w:lvlText w:val=""/>
      <w:lvlJc w:val="left"/>
      <w:pPr>
        <w:ind w:left="1452" w:hanging="360"/>
      </w:pPr>
      <w:rPr>
        <w:rFonts w:ascii="Wingdings" w:hAnsi="Wingdings" w:hint="default"/>
      </w:rPr>
    </w:lvl>
    <w:lvl w:ilvl="3" w:tplc="04050001" w:tentative="1">
      <w:start w:val="1"/>
      <w:numFmt w:val="bullet"/>
      <w:lvlText w:val=""/>
      <w:lvlJc w:val="left"/>
      <w:pPr>
        <w:ind w:left="2172" w:hanging="360"/>
      </w:pPr>
      <w:rPr>
        <w:rFonts w:ascii="Symbol" w:hAnsi="Symbol" w:hint="default"/>
      </w:rPr>
    </w:lvl>
    <w:lvl w:ilvl="4" w:tplc="04050003" w:tentative="1">
      <w:start w:val="1"/>
      <w:numFmt w:val="bullet"/>
      <w:lvlText w:val="o"/>
      <w:lvlJc w:val="left"/>
      <w:pPr>
        <w:ind w:left="2892" w:hanging="360"/>
      </w:pPr>
      <w:rPr>
        <w:rFonts w:ascii="Courier New" w:hAnsi="Courier New" w:cs="Courier New" w:hint="default"/>
      </w:rPr>
    </w:lvl>
    <w:lvl w:ilvl="5" w:tplc="04050005" w:tentative="1">
      <w:start w:val="1"/>
      <w:numFmt w:val="bullet"/>
      <w:lvlText w:val=""/>
      <w:lvlJc w:val="left"/>
      <w:pPr>
        <w:ind w:left="3612" w:hanging="360"/>
      </w:pPr>
      <w:rPr>
        <w:rFonts w:ascii="Wingdings" w:hAnsi="Wingdings" w:hint="default"/>
      </w:rPr>
    </w:lvl>
    <w:lvl w:ilvl="6" w:tplc="04050001" w:tentative="1">
      <w:start w:val="1"/>
      <w:numFmt w:val="bullet"/>
      <w:lvlText w:val=""/>
      <w:lvlJc w:val="left"/>
      <w:pPr>
        <w:ind w:left="4332" w:hanging="360"/>
      </w:pPr>
      <w:rPr>
        <w:rFonts w:ascii="Symbol" w:hAnsi="Symbol" w:hint="default"/>
      </w:rPr>
    </w:lvl>
    <w:lvl w:ilvl="7" w:tplc="04050003" w:tentative="1">
      <w:start w:val="1"/>
      <w:numFmt w:val="bullet"/>
      <w:lvlText w:val="o"/>
      <w:lvlJc w:val="left"/>
      <w:pPr>
        <w:ind w:left="5052" w:hanging="360"/>
      </w:pPr>
      <w:rPr>
        <w:rFonts w:ascii="Courier New" w:hAnsi="Courier New" w:cs="Courier New" w:hint="default"/>
      </w:rPr>
    </w:lvl>
    <w:lvl w:ilvl="8" w:tplc="04050005" w:tentative="1">
      <w:start w:val="1"/>
      <w:numFmt w:val="bullet"/>
      <w:lvlText w:val=""/>
      <w:lvlJc w:val="left"/>
      <w:pPr>
        <w:ind w:left="5772" w:hanging="360"/>
      </w:pPr>
      <w:rPr>
        <w:rFonts w:ascii="Wingdings" w:hAnsi="Wingdings" w:hint="default"/>
      </w:rPr>
    </w:lvl>
  </w:abstractNum>
  <w:abstractNum w:abstractNumId="7" w15:restartNumberingAfterBreak="0">
    <w:nsid w:val="27593069"/>
    <w:multiLevelType w:val="hybridMultilevel"/>
    <w:tmpl w:val="F878CD12"/>
    <w:lvl w:ilvl="0" w:tplc="587603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33897"/>
    <w:multiLevelType w:val="hybridMultilevel"/>
    <w:tmpl w:val="EA02D76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441C36"/>
    <w:multiLevelType w:val="hybridMultilevel"/>
    <w:tmpl w:val="00D2C7BE"/>
    <w:lvl w:ilvl="0" w:tplc="E5966386">
      <w:numFmt w:val="bullet"/>
      <w:lvlText w:val="-"/>
      <w:lvlJc w:val="left"/>
      <w:pPr>
        <w:ind w:left="306" w:hanging="360"/>
      </w:pPr>
      <w:rPr>
        <w:rFonts w:ascii="Calibri" w:eastAsia="Calibri" w:hAnsi="Calibri" w:cs="Calibri" w:hint="default"/>
      </w:rPr>
    </w:lvl>
    <w:lvl w:ilvl="1" w:tplc="04050003" w:tentative="1">
      <w:start w:val="1"/>
      <w:numFmt w:val="bullet"/>
      <w:lvlText w:val="o"/>
      <w:lvlJc w:val="left"/>
      <w:pPr>
        <w:ind w:left="1026" w:hanging="360"/>
      </w:pPr>
      <w:rPr>
        <w:rFonts w:ascii="Courier New" w:hAnsi="Courier New" w:cs="Courier New" w:hint="default"/>
      </w:rPr>
    </w:lvl>
    <w:lvl w:ilvl="2" w:tplc="04050005" w:tentative="1">
      <w:start w:val="1"/>
      <w:numFmt w:val="bullet"/>
      <w:lvlText w:val=""/>
      <w:lvlJc w:val="left"/>
      <w:pPr>
        <w:ind w:left="1746" w:hanging="360"/>
      </w:pPr>
      <w:rPr>
        <w:rFonts w:ascii="Wingdings" w:hAnsi="Wingdings" w:hint="default"/>
      </w:rPr>
    </w:lvl>
    <w:lvl w:ilvl="3" w:tplc="04050001" w:tentative="1">
      <w:start w:val="1"/>
      <w:numFmt w:val="bullet"/>
      <w:lvlText w:val=""/>
      <w:lvlJc w:val="left"/>
      <w:pPr>
        <w:ind w:left="2466" w:hanging="360"/>
      </w:pPr>
      <w:rPr>
        <w:rFonts w:ascii="Symbol" w:hAnsi="Symbol" w:hint="default"/>
      </w:rPr>
    </w:lvl>
    <w:lvl w:ilvl="4" w:tplc="04050003" w:tentative="1">
      <w:start w:val="1"/>
      <w:numFmt w:val="bullet"/>
      <w:lvlText w:val="o"/>
      <w:lvlJc w:val="left"/>
      <w:pPr>
        <w:ind w:left="3186" w:hanging="360"/>
      </w:pPr>
      <w:rPr>
        <w:rFonts w:ascii="Courier New" w:hAnsi="Courier New" w:cs="Courier New" w:hint="default"/>
      </w:rPr>
    </w:lvl>
    <w:lvl w:ilvl="5" w:tplc="04050005" w:tentative="1">
      <w:start w:val="1"/>
      <w:numFmt w:val="bullet"/>
      <w:lvlText w:val=""/>
      <w:lvlJc w:val="left"/>
      <w:pPr>
        <w:ind w:left="3906" w:hanging="360"/>
      </w:pPr>
      <w:rPr>
        <w:rFonts w:ascii="Wingdings" w:hAnsi="Wingdings" w:hint="default"/>
      </w:rPr>
    </w:lvl>
    <w:lvl w:ilvl="6" w:tplc="04050001" w:tentative="1">
      <w:start w:val="1"/>
      <w:numFmt w:val="bullet"/>
      <w:lvlText w:val=""/>
      <w:lvlJc w:val="left"/>
      <w:pPr>
        <w:ind w:left="4626" w:hanging="360"/>
      </w:pPr>
      <w:rPr>
        <w:rFonts w:ascii="Symbol" w:hAnsi="Symbol" w:hint="default"/>
      </w:rPr>
    </w:lvl>
    <w:lvl w:ilvl="7" w:tplc="04050003" w:tentative="1">
      <w:start w:val="1"/>
      <w:numFmt w:val="bullet"/>
      <w:lvlText w:val="o"/>
      <w:lvlJc w:val="left"/>
      <w:pPr>
        <w:ind w:left="5346" w:hanging="360"/>
      </w:pPr>
      <w:rPr>
        <w:rFonts w:ascii="Courier New" w:hAnsi="Courier New" w:cs="Courier New" w:hint="default"/>
      </w:rPr>
    </w:lvl>
    <w:lvl w:ilvl="8" w:tplc="04050005" w:tentative="1">
      <w:start w:val="1"/>
      <w:numFmt w:val="bullet"/>
      <w:lvlText w:val=""/>
      <w:lvlJc w:val="left"/>
      <w:pPr>
        <w:ind w:left="6066" w:hanging="360"/>
      </w:pPr>
      <w:rPr>
        <w:rFonts w:ascii="Wingdings" w:hAnsi="Wingdings" w:hint="default"/>
      </w:rPr>
    </w:lvl>
  </w:abstractNum>
  <w:abstractNum w:abstractNumId="10"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11" w15:restartNumberingAfterBreak="0">
    <w:nsid w:val="38001211"/>
    <w:multiLevelType w:val="hybridMultilevel"/>
    <w:tmpl w:val="A454B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40412E"/>
    <w:multiLevelType w:val="hybridMultilevel"/>
    <w:tmpl w:val="D4BE2002"/>
    <w:lvl w:ilvl="0" w:tplc="1486A920">
      <w:start w:val="1"/>
      <w:numFmt w:val="bullet"/>
      <w:lvlText w:val=""/>
      <w:lvlJc w:val="left"/>
      <w:pPr>
        <w:ind w:left="360" w:hanging="360"/>
      </w:pPr>
      <w:rPr>
        <w:rFonts w:ascii="Symbol" w:hAnsi="Symbol" w:hint="default"/>
      </w:rPr>
    </w:lvl>
    <w:lvl w:ilvl="1" w:tplc="4E6839BA">
      <w:numFmt w:val="bullet"/>
      <w:lvlText w:val="-"/>
      <w:lvlJc w:val="left"/>
      <w:pPr>
        <w:ind w:left="2648" w:hanging="705"/>
      </w:pPr>
      <w:rPr>
        <w:rFonts w:ascii="Times New Roman" w:eastAsia="Times New Roman" w:hAnsi="Times New Roman" w:cs="Times New Roman" w:hint="default"/>
      </w:rPr>
    </w:lvl>
    <w:lvl w:ilvl="2" w:tplc="04050005" w:tentative="1">
      <w:start w:val="1"/>
      <w:numFmt w:val="bullet"/>
      <w:lvlText w:val=""/>
      <w:lvlJc w:val="left"/>
      <w:pPr>
        <w:ind w:left="3023" w:hanging="360"/>
      </w:pPr>
      <w:rPr>
        <w:rFonts w:ascii="Wingdings" w:hAnsi="Wingdings" w:hint="default"/>
      </w:rPr>
    </w:lvl>
    <w:lvl w:ilvl="3" w:tplc="04050001" w:tentative="1">
      <w:start w:val="1"/>
      <w:numFmt w:val="bullet"/>
      <w:lvlText w:val=""/>
      <w:lvlJc w:val="left"/>
      <w:pPr>
        <w:ind w:left="3743" w:hanging="360"/>
      </w:pPr>
      <w:rPr>
        <w:rFonts w:ascii="Symbol" w:hAnsi="Symbol" w:hint="default"/>
      </w:rPr>
    </w:lvl>
    <w:lvl w:ilvl="4" w:tplc="04050003" w:tentative="1">
      <w:start w:val="1"/>
      <w:numFmt w:val="bullet"/>
      <w:lvlText w:val="o"/>
      <w:lvlJc w:val="left"/>
      <w:pPr>
        <w:ind w:left="4463" w:hanging="360"/>
      </w:pPr>
      <w:rPr>
        <w:rFonts w:ascii="Courier New" w:hAnsi="Courier New" w:cs="Courier New" w:hint="default"/>
      </w:rPr>
    </w:lvl>
    <w:lvl w:ilvl="5" w:tplc="04050005" w:tentative="1">
      <w:start w:val="1"/>
      <w:numFmt w:val="bullet"/>
      <w:lvlText w:val=""/>
      <w:lvlJc w:val="left"/>
      <w:pPr>
        <w:ind w:left="5183" w:hanging="360"/>
      </w:pPr>
      <w:rPr>
        <w:rFonts w:ascii="Wingdings" w:hAnsi="Wingdings" w:hint="default"/>
      </w:rPr>
    </w:lvl>
    <w:lvl w:ilvl="6" w:tplc="04050001" w:tentative="1">
      <w:start w:val="1"/>
      <w:numFmt w:val="bullet"/>
      <w:lvlText w:val=""/>
      <w:lvlJc w:val="left"/>
      <w:pPr>
        <w:ind w:left="5903" w:hanging="360"/>
      </w:pPr>
      <w:rPr>
        <w:rFonts w:ascii="Symbol" w:hAnsi="Symbol" w:hint="default"/>
      </w:rPr>
    </w:lvl>
    <w:lvl w:ilvl="7" w:tplc="04050003" w:tentative="1">
      <w:start w:val="1"/>
      <w:numFmt w:val="bullet"/>
      <w:lvlText w:val="o"/>
      <w:lvlJc w:val="left"/>
      <w:pPr>
        <w:ind w:left="6623" w:hanging="360"/>
      </w:pPr>
      <w:rPr>
        <w:rFonts w:ascii="Courier New" w:hAnsi="Courier New" w:cs="Courier New" w:hint="default"/>
      </w:rPr>
    </w:lvl>
    <w:lvl w:ilvl="8" w:tplc="04050005" w:tentative="1">
      <w:start w:val="1"/>
      <w:numFmt w:val="bullet"/>
      <w:lvlText w:val=""/>
      <w:lvlJc w:val="left"/>
      <w:pPr>
        <w:ind w:left="7343" w:hanging="360"/>
      </w:pPr>
      <w:rPr>
        <w:rFonts w:ascii="Wingdings" w:hAnsi="Wingdings" w:hint="default"/>
      </w:rPr>
    </w:lvl>
  </w:abstractNum>
  <w:abstractNum w:abstractNumId="13"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8F7331C"/>
    <w:multiLevelType w:val="multilevel"/>
    <w:tmpl w:val="CA5E08E8"/>
    <w:lvl w:ilvl="0">
      <w:start w:val="1"/>
      <w:numFmt w:val="bullet"/>
      <w:lvlText w:val="-"/>
      <w:lvlJc w:val="left"/>
      <w:pPr>
        <w:tabs>
          <w:tab w:val="num" w:pos="0"/>
        </w:tabs>
        <w:ind w:left="720" w:hanging="360"/>
      </w:pPr>
      <w:rPr>
        <w:rFonts w:ascii="Calibri" w:eastAsia="Calibri" w:hAnsi="Calibri" w:cs="Calibri" w:hint="default"/>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5BE65053"/>
    <w:multiLevelType w:val="hybridMultilevel"/>
    <w:tmpl w:val="AF24672A"/>
    <w:lvl w:ilvl="0" w:tplc="D2E085F2">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3A622B"/>
    <w:multiLevelType w:val="hybridMultilevel"/>
    <w:tmpl w:val="C316D4D8"/>
    <w:lvl w:ilvl="0" w:tplc="04050017">
      <w:start w:val="1"/>
      <w:numFmt w:val="lowerLetter"/>
      <w:lvlText w:val="%1)"/>
      <w:lvlJc w:val="left"/>
      <w:pPr>
        <w:ind w:left="501"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A60BD6"/>
    <w:multiLevelType w:val="hybridMultilevel"/>
    <w:tmpl w:val="7CD4355A"/>
    <w:lvl w:ilvl="0" w:tplc="AD227F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
  </w:num>
  <w:num w:numId="6">
    <w:abstractNumId w:val="4"/>
  </w:num>
  <w:num w:numId="7">
    <w:abstractNumId w:val="17"/>
  </w:num>
  <w:num w:numId="8">
    <w:abstractNumId w:val="13"/>
  </w:num>
  <w:num w:numId="9">
    <w:abstractNumId w:val="11"/>
  </w:num>
  <w:num w:numId="10">
    <w:abstractNumId w:val="3"/>
  </w:num>
  <w:num w:numId="11">
    <w:abstractNumId w:val="2"/>
  </w:num>
  <w:num w:numId="12">
    <w:abstractNumId w:val="18"/>
  </w:num>
  <w:num w:numId="13">
    <w:abstractNumId w:val="16"/>
  </w:num>
  <w:num w:numId="14">
    <w:abstractNumId w:val="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7"/>
  </w:num>
  <w:num w:numId="19">
    <w:abstractNumId w:val="15"/>
  </w:num>
  <w:num w:numId="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908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3CE8"/>
    <w:rsid w:val="00004910"/>
    <w:rsid w:val="0000554D"/>
    <w:rsid w:val="00007D5F"/>
    <w:rsid w:val="000109F2"/>
    <w:rsid w:val="00010B7C"/>
    <w:rsid w:val="00015A3C"/>
    <w:rsid w:val="000169E0"/>
    <w:rsid w:val="00024B4D"/>
    <w:rsid w:val="00024F1D"/>
    <w:rsid w:val="0002674B"/>
    <w:rsid w:val="00033583"/>
    <w:rsid w:val="00034DD4"/>
    <w:rsid w:val="00035E10"/>
    <w:rsid w:val="0003764C"/>
    <w:rsid w:val="00046ED5"/>
    <w:rsid w:val="00047920"/>
    <w:rsid w:val="0005095D"/>
    <w:rsid w:val="00051629"/>
    <w:rsid w:val="0005464F"/>
    <w:rsid w:val="00054A88"/>
    <w:rsid w:val="00055A51"/>
    <w:rsid w:val="00057D49"/>
    <w:rsid w:val="00060623"/>
    <w:rsid w:val="00061030"/>
    <w:rsid w:val="00062127"/>
    <w:rsid w:val="000642A6"/>
    <w:rsid w:val="00064524"/>
    <w:rsid w:val="000667AC"/>
    <w:rsid w:val="00070FE1"/>
    <w:rsid w:val="0007109F"/>
    <w:rsid w:val="000740F9"/>
    <w:rsid w:val="0007410F"/>
    <w:rsid w:val="00074801"/>
    <w:rsid w:val="00074ACD"/>
    <w:rsid w:val="00077B74"/>
    <w:rsid w:val="0008014C"/>
    <w:rsid w:val="000817D1"/>
    <w:rsid w:val="000850F3"/>
    <w:rsid w:val="00085C0A"/>
    <w:rsid w:val="00087C29"/>
    <w:rsid w:val="000946A5"/>
    <w:rsid w:val="00095FEE"/>
    <w:rsid w:val="0009798B"/>
    <w:rsid w:val="000A0BC0"/>
    <w:rsid w:val="000A0FAA"/>
    <w:rsid w:val="000A499C"/>
    <w:rsid w:val="000A5E94"/>
    <w:rsid w:val="000A6624"/>
    <w:rsid w:val="000A66BB"/>
    <w:rsid w:val="000A68D2"/>
    <w:rsid w:val="000A7693"/>
    <w:rsid w:val="000A7FD5"/>
    <w:rsid w:val="000B5DE4"/>
    <w:rsid w:val="000B6606"/>
    <w:rsid w:val="000B6B90"/>
    <w:rsid w:val="000C0386"/>
    <w:rsid w:val="000C3B04"/>
    <w:rsid w:val="000C75BB"/>
    <w:rsid w:val="000D0D97"/>
    <w:rsid w:val="000D2FBE"/>
    <w:rsid w:val="000D307D"/>
    <w:rsid w:val="000D429D"/>
    <w:rsid w:val="000E06A1"/>
    <w:rsid w:val="000E122E"/>
    <w:rsid w:val="000E1A90"/>
    <w:rsid w:val="000E45B6"/>
    <w:rsid w:val="000F17CF"/>
    <w:rsid w:val="000F1F63"/>
    <w:rsid w:val="000F2CEB"/>
    <w:rsid w:val="000F2E12"/>
    <w:rsid w:val="000F3F64"/>
    <w:rsid w:val="000F467C"/>
    <w:rsid w:val="000F57B5"/>
    <w:rsid w:val="000F5C46"/>
    <w:rsid w:val="000F6E3F"/>
    <w:rsid w:val="00105FFD"/>
    <w:rsid w:val="00106F45"/>
    <w:rsid w:val="001120D6"/>
    <w:rsid w:val="001125A9"/>
    <w:rsid w:val="0011496A"/>
    <w:rsid w:val="00114A16"/>
    <w:rsid w:val="00114A5B"/>
    <w:rsid w:val="00115A29"/>
    <w:rsid w:val="00116366"/>
    <w:rsid w:val="00116B6E"/>
    <w:rsid w:val="0011770D"/>
    <w:rsid w:val="00120CE5"/>
    <w:rsid w:val="00121E77"/>
    <w:rsid w:val="00122492"/>
    <w:rsid w:val="0012541A"/>
    <w:rsid w:val="00125633"/>
    <w:rsid w:val="00125C52"/>
    <w:rsid w:val="00126530"/>
    <w:rsid w:val="00130663"/>
    <w:rsid w:val="00131754"/>
    <w:rsid w:val="001421AB"/>
    <w:rsid w:val="001439B1"/>
    <w:rsid w:val="001441E3"/>
    <w:rsid w:val="00146106"/>
    <w:rsid w:val="0014679C"/>
    <w:rsid w:val="00147E43"/>
    <w:rsid w:val="00151FD4"/>
    <w:rsid w:val="0016194D"/>
    <w:rsid w:val="00163676"/>
    <w:rsid w:val="001636A0"/>
    <w:rsid w:val="001643AD"/>
    <w:rsid w:val="001653BE"/>
    <w:rsid w:val="00166A84"/>
    <w:rsid w:val="00173125"/>
    <w:rsid w:val="00174045"/>
    <w:rsid w:val="00175501"/>
    <w:rsid w:val="00175A85"/>
    <w:rsid w:val="00181279"/>
    <w:rsid w:val="00182869"/>
    <w:rsid w:val="001849ED"/>
    <w:rsid w:val="00185D55"/>
    <w:rsid w:val="0018709C"/>
    <w:rsid w:val="00190BEC"/>
    <w:rsid w:val="00192629"/>
    <w:rsid w:val="001931C8"/>
    <w:rsid w:val="00196491"/>
    <w:rsid w:val="0019667A"/>
    <w:rsid w:val="001A1196"/>
    <w:rsid w:val="001A3668"/>
    <w:rsid w:val="001A37B2"/>
    <w:rsid w:val="001A761D"/>
    <w:rsid w:val="001A7A93"/>
    <w:rsid w:val="001B0C67"/>
    <w:rsid w:val="001B19F2"/>
    <w:rsid w:val="001B1F3F"/>
    <w:rsid w:val="001B2B34"/>
    <w:rsid w:val="001B3779"/>
    <w:rsid w:val="001B42C3"/>
    <w:rsid w:val="001B4678"/>
    <w:rsid w:val="001B706E"/>
    <w:rsid w:val="001C0BAF"/>
    <w:rsid w:val="001C31FE"/>
    <w:rsid w:val="001C3337"/>
    <w:rsid w:val="001C4ECD"/>
    <w:rsid w:val="001C5CCF"/>
    <w:rsid w:val="001D309B"/>
    <w:rsid w:val="001D57DD"/>
    <w:rsid w:val="001D762C"/>
    <w:rsid w:val="001E35D6"/>
    <w:rsid w:val="001E777C"/>
    <w:rsid w:val="001E7D14"/>
    <w:rsid w:val="001F0F81"/>
    <w:rsid w:val="001F2023"/>
    <w:rsid w:val="001F253F"/>
    <w:rsid w:val="001F3351"/>
    <w:rsid w:val="001F460F"/>
    <w:rsid w:val="001F7C69"/>
    <w:rsid w:val="00203A35"/>
    <w:rsid w:val="002117D9"/>
    <w:rsid w:val="00214D97"/>
    <w:rsid w:val="0021503A"/>
    <w:rsid w:val="00217B48"/>
    <w:rsid w:val="0022222B"/>
    <w:rsid w:val="00222710"/>
    <w:rsid w:val="00224563"/>
    <w:rsid w:val="00224B4F"/>
    <w:rsid w:val="00226FDA"/>
    <w:rsid w:val="00226FEF"/>
    <w:rsid w:val="002274E2"/>
    <w:rsid w:val="00232250"/>
    <w:rsid w:val="00232DEA"/>
    <w:rsid w:val="002343D0"/>
    <w:rsid w:val="00236CAD"/>
    <w:rsid w:val="00237361"/>
    <w:rsid w:val="00237CEA"/>
    <w:rsid w:val="002416D5"/>
    <w:rsid w:val="00242596"/>
    <w:rsid w:val="00244B37"/>
    <w:rsid w:val="002517DE"/>
    <w:rsid w:val="0025654D"/>
    <w:rsid w:val="002606AA"/>
    <w:rsid w:val="00263087"/>
    <w:rsid w:val="00264441"/>
    <w:rsid w:val="0026469F"/>
    <w:rsid w:val="00264B4B"/>
    <w:rsid w:val="002654EA"/>
    <w:rsid w:val="00272A09"/>
    <w:rsid w:val="00274B66"/>
    <w:rsid w:val="002753BB"/>
    <w:rsid w:val="00275576"/>
    <w:rsid w:val="00282F64"/>
    <w:rsid w:val="00285865"/>
    <w:rsid w:val="0028754D"/>
    <w:rsid w:val="00287572"/>
    <w:rsid w:val="00290E9C"/>
    <w:rsid w:val="00291155"/>
    <w:rsid w:val="00292269"/>
    <w:rsid w:val="0029286F"/>
    <w:rsid w:val="00292A4B"/>
    <w:rsid w:val="00296588"/>
    <w:rsid w:val="002A0F01"/>
    <w:rsid w:val="002A1556"/>
    <w:rsid w:val="002A2BD2"/>
    <w:rsid w:val="002B239C"/>
    <w:rsid w:val="002B26A2"/>
    <w:rsid w:val="002B6598"/>
    <w:rsid w:val="002B7B59"/>
    <w:rsid w:val="002B7EBA"/>
    <w:rsid w:val="002C12FA"/>
    <w:rsid w:val="002C4BC3"/>
    <w:rsid w:val="002C5BBE"/>
    <w:rsid w:val="002C5CC8"/>
    <w:rsid w:val="002C7D50"/>
    <w:rsid w:val="002D1176"/>
    <w:rsid w:val="002D371D"/>
    <w:rsid w:val="002D3A35"/>
    <w:rsid w:val="002D771B"/>
    <w:rsid w:val="002E0EB6"/>
    <w:rsid w:val="002E3C7B"/>
    <w:rsid w:val="002E463F"/>
    <w:rsid w:val="002E61A7"/>
    <w:rsid w:val="002E6968"/>
    <w:rsid w:val="002E6AF8"/>
    <w:rsid w:val="002E6CC5"/>
    <w:rsid w:val="002F02F1"/>
    <w:rsid w:val="002F0ABA"/>
    <w:rsid w:val="002F7724"/>
    <w:rsid w:val="0030036F"/>
    <w:rsid w:val="00300834"/>
    <w:rsid w:val="00300D4A"/>
    <w:rsid w:val="0030121D"/>
    <w:rsid w:val="00302071"/>
    <w:rsid w:val="00302FD2"/>
    <w:rsid w:val="00305633"/>
    <w:rsid w:val="00306D80"/>
    <w:rsid w:val="00310C34"/>
    <w:rsid w:val="00313E62"/>
    <w:rsid w:val="00316718"/>
    <w:rsid w:val="00325CCB"/>
    <w:rsid w:val="003275C0"/>
    <w:rsid w:val="003306EF"/>
    <w:rsid w:val="0033154F"/>
    <w:rsid w:val="00332CD9"/>
    <w:rsid w:val="00333790"/>
    <w:rsid w:val="00333887"/>
    <w:rsid w:val="0033445E"/>
    <w:rsid w:val="00336640"/>
    <w:rsid w:val="00342080"/>
    <w:rsid w:val="00342649"/>
    <w:rsid w:val="00344097"/>
    <w:rsid w:val="0034595A"/>
    <w:rsid w:val="00345E6C"/>
    <w:rsid w:val="00346198"/>
    <w:rsid w:val="003465BE"/>
    <w:rsid w:val="00346743"/>
    <w:rsid w:val="003537BE"/>
    <w:rsid w:val="003538D7"/>
    <w:rsid w:val="00354D89"/>
    <w:rsid w:val="003551E3"/>
    <w:rsid w:val="003552E7"/>
    <w:rsid w:val="00356F4F"/>
    <w:rsid w:val="00356FE0"/>
    <w:rsid w:val="003602CB"/>
    <w:rsid w:val="003603CF"/>
    <w:rsid w:val="0036202F"/>
    <w:rsid w:val="003640ED"/>
    <w:rsid w:val="00364554"/>
    <w:rsid w:val="00365015"/>
    <w:rsid w:val="00365F3A"/>
    <w:rsid w:val="00366975"/>
    <w:rsid w:val="0036710D"/>
    <w:rsid w:val="00377D1F"/>
    <w:rsid w:val="00381222"/>
    <w:rsid w:val="003847FC"/>
    <w:rsid w:val="00385937"/>
    <w:rsid w:val="003860CD"/>
    <w:rsid w:val="00387E00"/>
    <w:rsid w:val="003912F4"/>
    <w:rsid w:val="00394CD9"/>
    <w:rsid w:val="00394D92"/>
    <w:rsid w:val="00396E9C"/>
    <w:rsid w:val="00397C3F"/>
    <w:rsid w:val="00397FA6"/>
    <w:rsid w:val="003A0B1A"/>
    <w:rsid w:val="003A18BF"/>
    <w:rsid w:val="003A285D"/>
    <w:rsid w:val="003A5022"/>
    <w:rsid w:val="003A5AAC"/>
    <w:rsid w:val="003B0366"/>
    <w:rsid w:val="003B0AE3"/>
    <w:rsid w:val="003B64B3"/>
    <w:rsid w:val="003C0862"/>
    <w:rsid w:val="003C34FE"/>
    <w:rsid w:val="003C3E55"/>
    <w:rsid w:val="003C4D9B"/>
    <w:rsid w:val="003C6D4A"/>
    <w:rsid w:val="003C710C"/>
    <w:rsid w:val="003D3E38"/>
    <w:rsid w:val="003D4306"/>
    <w:rsid w:val="003D5533"/>
    <w:rsid w:val="003E1B3E"/>
    <w:rsid w:val="003E21F6"/>
    <w:rsid w:val="003E2B55"/>
    <w:rsid w:val="003E3738"/>
    <w:rsid w:val="003E3C80"/>
    <w:rsid w:val="003E41D8"/>
    <w:rsid w:val="003E4B8C"/>
    <w:rsid w:val="003E6D39"/>
    <w:rsid w:val="003E76EC"/>
    <w:rsid w:val="003F081F"/>
    <w:rsid w:val="003F1C7E"/>
    <w:rsid w:val="003F310C"/>
    <w:rsid w:val="003F6881"/>
    <w:rsid w:val="003F79C5"/>
    <w:rsid w:val="004026FF"/>
    <w:rsid w:val="00403A7D"/>
    <w:rsid w:val="0040665F"/>
    <w:rsid w:val="00410938"/>
    <w:rsid w:val="004133A2"/>
    <w:rsid w:val="00413FAC"/>
    <w:rsid w:val="004144CD"/>
    <w:rsid w:val="00415798"/>
    <w:rsid w:val="00415806"/>
    <w:rsid w:val="00415E1A"/>
    <w:rsid w:val="00416443"/>
    <w:rsid w:val="0042289A"/>
    <w:rsid w:val="00422C4A"/>
    <w:rsid w:val="0042457A"/>
    <w:rsid w:val="0042558C"/>
    <w:rsid w:val="00426C6E"/>
    <w:rsid w:val="004278F1"/>
    <w:rsid w:val="00427DC6"/>
    <w:rsid w:val="004313D4"/>
    <w:rsid w:val="00431ED7"/>
    <w:rsid w:val="0043541C"/>
    <w:rsid w:val="004357DE"/>
    <w:rsid w:val="00435CD4"/>
    <w:rsid w:val="004375C5"/>
    <w:rsid w:val="00437F6E"/>
    <w:rsid w:val="0044306E"/>
    <w:rsid w:val="004457C8"/>
    <w:rsid w:val="004510EA"/>
    <w:rsid w:val="004515B9"/>
    <w:rsid w:val="004545D4"/>
    <w:rsid w:val="004545EF"/>
    <w:rsid w:val="00454B8C"/>
    <w:rsid w:val="00456502"/>
    <w:rsid w:val="00456E46"/>
    <w:rsid w:val="0046104D"/>
    <w:rsid w:val="0046203A"/>
    <w:rsid w:val="00462E07"/>
    <w:rsid w:val="00463302"/>
    <w:rsid w:val="00465909"/>
    <w:rsid w:val="00466C53"/>
    <w:rsid w:val="00466FD6"/>
    <w:rsid w:val="0046754E"/>
    <w:rsid w:val="004704B7"/>
    <w:rsid w:val="00470775"/>
    <w:rsid w:val="00470A74"/>
    <w:rsid w:val="00473022"/>
    <w:rsid w:val="0047424D"/>
    <w:rsid w:val="00474B10"/>
    <w:rsid w:val="00474B62"/>
    <w:rsid w:val="00477108"/>
    <w:rsid w:val="0048203C"/>
    <w:rsid w:val="00483156"/>
    <w:rsid w:val="00483893"/>
    <w:rsid w:val="00483B93"/>
    <w:rsid w:val="00484CF6"/>
    <w:rsid w:val="00485DC4"/>
    <w:rsid w:val="00490660"/>
    <w:rsid w:val="00491AC4"/>
    <w:rsid w:val="00493472"/>
    <w:rsid w:val="00495A76"/>
    <w:rsid w:val="004A0ED2"/>
    <w:rsid w:val="004A18AB"/>
    <w:rsid w:val="004A39B6"/>
    <w:rsid w:val="004A6686"/>
    <w:rsid w:val="004A681E"/>
    <w:rsid w:val="004A7695"/>
    <w:rsid w:val="004A7A73"/>
    <w:rsid w:val="004B3AD1"/>
    <w:rsid w:val="004B5008"/>
    <w:rsid w:val="004B5C71"/>
    <w:rsid w:val="004B5F8D"/>
    <w:rsid w:val="004B6346"/>
    <w:rsid w:val="004B69F9"/>
    <w:rsid w:val="004B7A59"/>
    <w:rsid w:val="004C00DB"/>
    <w:rsid w:val="004C1378"/>
    <w:rsid w:val="004C3734"/>
    <w:rsid w:val="004C6409"/>
    <w:rsid w:val="004C77D3"/>
    <w:rsid w:val="004D03C8"/>
    <w:rsid w:val="004D2264"/>
    <w:rsid w:val="004D3C99"/>
    <w:rsid w:val="004D64AA"/>
    <w:rsid w:val="004D77F3"/>
    <w:rsid w:val="004E0BF2"/>
    <w:rsid w:val="004E2269"/>
    <w:rsid w:val="004E2D39"/>
    <w:rsid w:val="004E3835"/>
    <w:rsid w:val="004E3D08"/>
    <w:rsid w:val="004E4D42"/>
    <w:rsid w:val="004E4DBC"/>
    <w:rsid w:val="004E5E5D"/>
    <w:rsid w:val="004F0FD9"/>
    <w:rsid w:val="004F19C0"/>
    <w:rsid w:val="004F1C1D"/>
    <w:rsid w:val="004F1D2C"/>
    <w:rsid w:val="004F43CE"/>
    <w:rsid w:val="004F5A3E"/>
    <w:rsid w:val="004F67B2"/>
    <w:rsid w:val="004F768E"/>
    <w:rsid w:val="00500F36"/>
    <w:rsid w:val="0050218D"/>
    <w:rsid w:val="00505F5B"/>
    <w:rsid w:val="00511FD7"/>
    <w:rsid w:val="00514050"/>
    <w:rsid w:val="00514505"/>
    <w:rsid w:val="00514F67"/>
    <w:rsid w:val="00515F95"/>
    <w:rsid w:val="005173F8"/>
    <w:rsid w:val="00517ACE"/>
    <w:rsid w:val="00517E53"/>
    <w:rsid w:val="00521C3E"/>
    <w:rsid w:val="005220FC"/>
    <w:rsid w:val="00524B07"/>
    <w:rsid w:val="00524D1C"/>
    <w:rsid w:val="005316C8"/>
    <w:rsid w:val="005327E3"/>
    <w:rsid w:val="00533C7F"/>
    <w:rsid w:val="00535A74"/>
    <w:rsid w:val="005375C1"/>
    <w:rsid w:val="005377AC"/>
    <w:rsid w:val="00540DBA"/>
    <w:rsid w:val="00546DE7"/>
    <w:rsid w:val="0054729C"/>
    <w:rsid w:val="00547810"/>
    <w:rsid w:val="00550820"/>
    <w:rsid w:val="00550D71"/>
    <w:rsid w:val="00551D2C"/>
    <w:rsid w:val="005550DB"/>
    <w:rsid w:val="005571B1"/>
    <w:rsid w:val="005629B1"/>
    <w:rsid w:val="00564F3B"/>
    <w:rsid w:val="00565EB2"/>
    <w:rsid w:val="00567EE6"/>
    <w:rsid w:val="00573DA5"/>
    <w:rsid w:val="00575BBE"/>
    <w:rsid w:val="005765A7"/>
    <w:rsid w:val="00576EF2"/>
    <w:rsid w:val="00580701"/>
    <w:rsid w:val="00580A09"/>
    <w:rsid w:val="00581083"/>
    <w:rsid w:val="005812A5"/>
    <w:rsid w:val="00581FD1"/>
    <w:rsid w:val="005824F3"/>
    <w:rsid w:val="00582E54"/>
    <w:rsid w:val="0058335E"/>
    <w:rsid w:val="00586FDA"/>
    <w:rsid w:val="00587441"/>
    <w:rsid w:val="00591CCD"/>
    <w:rsid w:val="00592820"/>
    <w:rsid w:val="005940D0"/>
    <w:rsid w:val="00594303"/>
    <w:rsid w:val="00596968"/>
    <w:rsid w:val="00596BE2"/>
    <w:rsid w:val="00597C9B"/>
    <w:rsid w:val="005A00F7"/>
    <w:rsid w:val="005A084E"/>
    <w:rsid w:val="005A353E"/>
    <w:rsid w:val="005A6991"/>
    <w:rsid w:val="005A71A5"/>
    <w:rsid w:val="005A7370"/>
    <w:rsid w:val="005B067D"/>
    <w:rsid w:val="005B07FB"/>
    <w:rsid w:val="005B185C"/>
    <w:rsid w:val="005B1ABE"/>
    <w:rsid w:val="005B2B04"/>
    <w:rsid w:val="005B4F36"/>
    <w:rsid w:val="005B7998"/>
    <w:rsid w:val="005C0D68"/>
    <w:rsid w:val="005C32EE"/>
    <w:rsid w:val="005C3B52"/>
    <w:rsid w:val="005C52BD"/>
    <w:rsid w:val="005C5F99"/>
    <w:rsid w:val="005D08C3"/>
    <w:rsid w:val="005D1081"/>
    <w:rsid w:val="005D1CF0"/>
    <w:rsid w:val="005D1E1B"/>
    <w:rsid w:val="005D24FF"/>
    <w:rsid w:val="005D4986"/>
    <w:rsid w:val="005D49FC"/>
    <w:rsid w:val="005D7881"/>
    <w:rsid w:val="005E0B07"/>
    <w:rsid w:val="005E0B49"/>
    <w:rsid w:val="005E2467"/>
    <w:rsid w:val="005E348F"/>
    <w:rsid w:val="005E4FA1"/>
    <w:rsid w:val="005E7B59"/>
    <w:rsid w:val="005F0F59"/>
    <w:rsid w:val="005F20CC"/>
    <w:rsid w:val="006017AB"/>
    <w:rsid w:val="00603B15"/>
    <w:rsid w:val="006051B2"/>
    <w:rsid w:val="00610111"/>
    <w:rsid w:val="00610E47"/>
    <w:rsid w:val="00614301"/>
    <w:rsid w:val="00616943"/>
    <w:rsid w:val="00616C9F"/>
    <w:rsid w:val="00623BE5"/>
    <w:rsid w:val="0062469D"/>
    <w:rsid w:val="00637663"/>
    <w:rsid w:val="00642E21"/>
    <w:rsid w:val="0064451A"/>
    <w:rsid w:val="006454D3"/>
    <w:rsid w:val="00645C4C"/>
    <w:rsid w:val="0064657E"/>
    <w:rsid w:val="00646C4F"/>
    <w:rsid w:val="006503A8"/>
    <w:rsid w:val="0065344D"/>
    <w:rsid w:val="00653692"/>
    <w:rsid w:val="00654EB4"/>
    <w:rsid w:val="00655448"/>
    <w:rsid w:val="006557DB"/>
    <w:rsid w:val="0065699F"/>
    <w:rsid w:val="006610D4"/>
    <w:rsid w:val="0066200E"/>
    <w:rsid w:val="006635C3"/>
    <w:rsid w:val="00666B84"/>
    <w:rsid w:val="00666E20"/>
    <w:rsid w:val="00670BB5"/>
    <w:rsid w:val="00671CC9"/>
    <w:rsid w:val="00677151"/>
    <w:rsid w:val="00677298"/>
    <w:rsid w:val="00681A92"/>
    <w:rsid w:val="006850A4"/>
    <w:rsid w:val="006865F6"/>
    <w:rsid w:val="00690CFE"/>
    <w:rsid w:val="00692274"/>
    <w:rsid w:val="00693348"/>
    <w:rsid w:val="00693C50"/>
    <w:rsid w:val="006A145B"/>
    <w:rsid w:val="006A27D5"/>
    <w:rsid w:val="006A364B"/>
    <w:rsid w:val="006B37B7"/>
    <w:rsid w:val="006B4FED"/>
    <w:rsid w:val="006B6A4C"/>
    <w:rsid w:val="006B7539"/>
    <w:rsid w:val="006C28E7"/>
    <w:rsid w:val="006C4597"/>
    <w:rsid w:val="006C45F8"/>
    <w:rsid w:val="006C552D"/>
    <w:rsid w:val="006C601A"/>
    <w:rsid w:val="006C6EE4"/>
    <w:rsid w:val="006C7437"/>
    <w:rsid w:val="006C7951"/>
    <w:rsid w:val="006C7968"/>
    <w:rsid w:val="006D0BB7"/>
    <w:rsid w:val="006D29E5"/>
    <w:rsid w:val="006D2AD5"/>
    <w:rsid w:val="006D660C"/>
    <w:rsid w:val="006D6F6D"/>
    <w:rsid w:val="006E0B72"/>
    <w:rsid w:val="006E1815"/>
    <w:rsid w:val="006E420A"/>
    <w:rsid w:val="006F0F5D"/>
    <w:rsid w:val="006F112F"/>
    <w:rsid w:val="006F270C"/>
    <w:rsid w:val="006F319F"/>
    <w:rsid w:val="006F37C2"/>
    <w:rsid w:val="006F381D"/>
    <w:rsid w:val="006F4F21"/>
    <w:rsid w:val="006F5CF9"/>
    <w:rsid w:val="0070020B"/>
    <w:rsid w:val="00700A10"/>
    <w:rsid w:val="0070427F"/>
    <w:rsid w:val="00704B3D"/>
    <w:rsid w:val="007075C6"/>
    <w:rsid w:val="00710942"/>
    <w:rsid w:val="007118BE"/>
    <w:rsid w:val="00712394"/>
    <w:rsid w:val="00712736"/>
    <w:rsid w:val="00713CB7"/>
    <w:rsid w:val="0071581B"/>
    <w:rsid w:val="00720DC9"/>
    <w:rsid w:val="00721053"/>
    <w:rsid w:val="007231EE"/>
    <w:rsid w:val="00723FFB"/>
    <w:rsid w:val="00724A51"/>
    <w:rsid w:val="00724FAC"/>
    <w:rsid w:val="00725EB3"/>
    <w:rsid w:val="00726A09"/>
    <w:rsid w:val="0072794D"/>
    <w:rsid w:val="00731925"/>
    <w:rsid w:val="00732814"/>
    <w:rsid w:val="007330BB"/>
    <w:rsid w:val="007331DB"/>
    <w:rsid w:val="007334FD"/>
    <w:rsid w:val="0073727B"/>
    <w:rsid w:val="00740294"/>
    <w:rsid w:val="007402A4"/>
    <w:rsid w:val="00740616"/>
    <w:rsid w:val="00740A7E"/>
    <w:rsid w:val="00741519"/>
    <w:rsid w:val="0074357A"/>
    <w:rsid w:val="00743B9F"/>
    <w:rsid w:val="007461AA"/>
    <w:rsid w:val="00746321"/>
    <w:rsid w:val="00750DB3"/>
    <w:rsid w:val="00751A7E"/>
    <w:rsid w:val="00752B92"/>
    <w:rsid w:val="007532BC"/>
    <w:rsid w:val="0075575F"/>
    <w:rsid w:val="00755BCB"/>
    <w:rsid w:val="00757E4A"/>
    <w:rsid w:val="00762819"/>
    <w:rsid w:val="0076358C"/>
    <w:rsid w:val="00767919"/>
    <w:rsid w:val="007763F9"/>
    <w:rsid w:val="0077782A"/>
    <w:rsid w:val="00777B03"/>
    <w:rsid w:val="007800CB"/>
    <w:rsid w:val="00787E05"/>
    <w:rsid w:val="00790123"/>
    <w:rsid w:val="00790143"/>
    <w:rsid w:val="00790886"/>
    <w:rsid w:val="00791E88"/>
    <w:rsid w:val="0079467C"/>
    <w:rsid w:val="00794E18"/>
    <w:rsid w:val="007950D9"/>
    <w:rsid w:val="007960C4"/>
    <w:rsid w:val="0079660E"/>
    <w:rsid w:val="00796ADB"/>
    <w:rsid w:val="00797FB1"/>
    <w:rsid w:val="007A0F52"/>
    <w:rsid w:val="007A155B"/>
    <w:rsid w:val="007A179A"/>
    <w:rsid w:val="007C26CF"/>
    <w:rsid w:val="007C299C"/>
    <w:rsid w:val="007C3B7E"/>
    <w:rsid w:val="007C3DC5"/>
    <w:rsid w:val="007C4B5C"/>
    <w:rsid w:val="007C77BB"/>
    <w:rsid w:val="007D001A"/>
    <w:rsid w:val="007D1A62"/>
    <w:rsid w:val="007D333B"/>
    <w:rsid w:val="007D37B5"/>
    <w:rsid w:val="007D54E6"/>
    <w:rsid w:val="007D5857"/>
    <w:rsid w:val="007D6CE1"/>
    <w:rsid w:val="007E01FA"/>
    <w:rsid w:val="007E11E4"/>
    <w:rsid w:val="007E290E"/>
    <w:rsid w:val="007E5953"/>
    <w:rsid w:val="007E6FE0"/>
    <w:rsid w:val="007F1669"/>
    <w:rsid w:val="007F1C29"/>
    <w:rsid w:val="007F2834"/>
    <w:rsid w:val="007F3960"/>
    <w:rsid w:val="007F3D6C"/>
    <w:rsid w:val="007F7441"/>
    <w:rsid w:val="00801004"/>
    <w:rsid w:val="008016BA"/>
    <w:rsid w:val="008024B4"/>
    <w:rsid w:val="0080250E"/>
    <w:rsid w:val="00804C3C"/>
    <w:rsid w:val="00806E05"/>
    <w:rsid w:val="0080769F"/>
    <w:rsid w:val="00807B84"/>
    <w:rsid w:val="008105AD"/>
    <w:rsid w:val="00812F90"/>
    <w:rsid w:val="008132D1"/>
    <w:rsid w:val="00813F75"/>
    <w:rsid w:val="00821E06"/>
    <w:rsid w:val="008221D1"/>
    <w:rsid w:val="008223B3"/>
    <w:rsid w:val="00822B33"/>
    <w:rsid w:val="0082683C"/>
    <w:rsid w:val="00826B6D"/>
    <w:rsid w:val="00830DF1"/>
    <w:rsid w:val="008310DF"/>
    <w:rsid w:val="008325B1"/>
    <w:rsid w:val="0083404A"/>
    <w:rsid w:val="008347EB"/>
    <w:rsid w:val="00834EBB"/>
    <w:rsid w:val="008402F8"/>
    <w:rsid w:val="00841AF1"/>
    <w:rsid w:val="00844BB0"/>
    <w:rsid w:val="00845344"/>
    <w:rsid w:val="00845D4E"/>
    <w:rsid w:val="00845F6C"/>
    <w:rsid w:val="00846591"/>
    <w:rsid w:val="00846CBA"/>
    <w:rsid w:val="00847117"/>
    <w:rsid w:val="008551B8"/>
    <w:rsid w:val="00855694"/>
    <w:rsid w:val="0085751E"/>
    <w:rsid w:val="00862610"/>
    <w:rsid w:val="00864472"/>
    <w:rsid w:val="00865132"/>
    <w:rsid w:val="00866A0C"/>
    <w:rsid w:val="0086782F"/>
    <w:rsid w:val="00871352"/>
    <w:rsid w:val="008714F4"/>
    <w:rsid w:val="008725C8"/>
    <w:rsid w:val="0087392E"/>
    <w:rsid w:val="00877FD5"/>
    <w:rsid w:val="008826DA"/>
    <w:rsid w:val="0088271A"/>
    <w:rsid w:val="0088397F"/>
    <w:rsid w:val="00884E9D"/>
    <w:rsid w:val="0088558E"/>
    <w:rsid w:val="00885BC7"/>
    <w:rsid w:val="008868BF"/>
    <w:rsid w:val="00891BFC"/>
    <w:rsid w:val="0089265D"/>
    <w:rsid w:val="00893C45"/>
    <w:rsid w:val="008944F2"/>
    <w:rsid w:val="00894774"/>
    <w:rsid w:val="00894C12"/>
    <w:rsid w:val="008952C3"/>
    <w:rsid w:val="00896F99"/>
    <w:rsid w:val="00896FD9"/>
    <w:rsid w:val="008A0A91"/>
    <w:rsid w:val="008A1877"/>
    <w:rsid w:val="008A30B4"/>
    <w:rsid w:val="008A50B1"/>
    <w:rsid w:val="008A5273"/>
    <w:rsid w:val="008A5474"/>
    <w:rsid w:val="008A5CD2"/>
    <w:rsid w:val="008A7375"/>
    <w:rsid w:val="008B1601"/>
    <w:rsid w:val="008B2545"/>
    <w:rsid w:val="008B2AE6"/>
    <w:rsid w:val="008B3C2E"/>
    <w:rsid w:val="008B4271"/>
    <w:rsid w:val="008B4CAE"/>
    <w:rsid w:val="008B7F12"/>
    <w:rsid w:val="008C6407"/>
    <w:rsid w:val="008C676F"/>
    <w:rsid w:val="008C7C02"/>
    <w:rsid w:val="008D0A6C"/>
    <w:rsid w:val="008D2C3A"/>
    <w:rsid w:val="008D466E"/>
    <w:rsid w:val="008D4C52"/>
    <w:rsid w:val="008D5D62"/>
    <w:rsid w:val="008D5F18"/>
    <w:rsid w:val="008D7AE5"/>
    <w:rsid w:val="008D7B62"/>
    <w:rsid w:val="008E1707"/>
    <w:rsid w:val="008E1C2F"/>
    <w:rsid w:val="008E3985"/>
    <w:rsid w:val="008E3B93"/>
    <w:rsid w:val="008E3EFD"/>
    <w:rsid w:val="008E5EC3"/>
    <w:rsid w:val="008E66F7"/>
    <w:rsid w:val="008F1145"/>
    <w:rsid w:val="008F654D"/>
    <w:rsid w:val="008F6FB8"/>
    <w:rsid w:val="008F7AE5"/>
    <w:rsid w:val="00900562"/>
    <w:rsid w:val="00900F6E"/>
    <w:rsid w:val="00903DF2"/>
    <w:rsid w:val="00905111"/>
    <w:rsid w:val="009055C5"/>
    <w:rsid w:val="009064DE"/>
    <w:rsid w:val="00906934"/>
    <w:rsid w:val="00907885"/>
    <w:rsid w:val="009100AB"/>
    <w:rsid w:val="009113AC"/>
    <w:rsid w:val="00911822"/>
    <w:rsid w:val="0091409F"/>
    <w:rsid w:val="00914254"/>
    <w:rsid w:val="00917333"/>
    <w:rsid w:val="009214B9"/>
    <w:rsid w:val="009219C8"/>
    <w:rsid w:val="009229DB"/>
    <w:rsid w:val="0092313D"/>
    <w:rsid w:val="00923917"/>
    <w:rsid w:val="0092449B"/>
    <w:rsid w:val="00925EC8"/>
    <w:rsid w:val="0092608B"/>
    <w:rsid w:val="00926B59"/>
    <w:rsid w:val="00926CE8"/>
    <w:rsid w:val="0092700A"/>
    <w:rsid w:val="00927125"/>
    <w:rsid w:val="00927D3D"/>
    <w:rsid w:val="009325BD"/>
    <w:rsid w:val="0093326A"/>
    <w:rsid w:val="00933416"/>
    <w:rsid w:val="00933BE0"/>
    <w:rsid w:val="00934AE3"/>
    <w:rsid w:val="00935F45"/>
    <w:rsid w:val="00937C78"/>
    <w:rsid w:val="00937EBC"/>
    <w:rsid w:val="0094461B"/>
    <w:rsid w:val="00945E41"/>
    <w:rsid w:val="0094653F"/>
    <w:rsid w:val="00952AD6"/>
    <w:rsid w:val="00953D6F"/>
    <w:rsid w:val="00957227"/>
    <w:rsid w:val="009579BC"/>
    <w:rsid w:val="00960E9F"/>
    <w:rsid w:val="00963408"/>
    <w:rsid w:val="00971749"/>
    <w:rsid w:val="0097566C"/>
    <w:rsid w:val="00980EA6"/>
    <w:rsid w:val="0098282D"/>
    <w:rsid w:val="00990E34"/>
    <w:rsid w:val="00991DDC"/>
    <w:rsid w:val="009931DC"/>
    <w:rsid w:val="00993678"/>
    <w:rsid w:val="0099409D"/>
    <w:rsid w:val="0099490E"/>
    <w:rsid w:val="00997D05"/>
    <w:rsid w:val="009A090B"/>
    <w:rsid w:val="009A0A09"/>
    <w:rsid w:val="009A27F4"/>
    <w:rsid w:val="009A43CB"/>
    <w:rsid w:val="009A4BC6"/>
    <w:rsid w:val="009A6C19"/>
    <w:rsid w:val="009A7B9B"/>
    <w:rsid w:val="009B08F8"/>
    <w:rsid w:val="009B67BF"/>
    <w:rsid w:val="009B7B1D"/>
    <w:rsid w:val="009C2DB5"/>
    <w:rsid w:val="009C57C5"/>
    <w:rsid w:val="009C6EE1"/>
    <w:rsid w:val="009D3BA6"/>
    <w:rsid w:val="009D566C"/>
    <w:rsid w:val="009D5E6A"/>
    <w:rsid w:val="009D6BF9"/>
    <w:rsid w:val="009E0865"/>
    <w:rsid w:val="009E11B2"/>
    <w:rsid w:val="009E3554"/>
    <w:rsid w:val="009E43DB"/>
    <w:rsid w:val="009E587D"/>
    <w:rsid w:val="009E7561"/>
    <w:rsid w:val="009F2AA5"/>
    <w:rsid w:val="009F49D9"/>
    <w:rsid w:val="009F50B3"/>
    <w:rsid w:val="009F5442"/>
    <w:rsid w:val="009F62F1"/>
    <w:rsid w:val="009F7C0F"/>
    <w:rsid w:val="00A0232B"/>
    <w:rsid w:val="00A031CA"/>
    <w:rsid w:val="00A03A50"/>
    <w:rsid w:val="00A04ACF"/>
    <w:rsid w:val="00A0635D"/>
    <w:rsid w:val="00A10591"/>
    <w:rsid w:val="00A124B6"/>
    <w:rsid w:val="00A14209"/>
    <w:rsid w:val="00A15C96"/>
    <w:rsid w:val="00A167D1"/>
    <w:rsid w:val="00A22EA5"/>
    <w:rsid w:val="00A24CD3"/>
    <w:rsid w:val="00A24D63"/>
    <w:rsid w:val="00A3737E"/>
    <w:rsid w:val="00A37F9A"/>
    <w:rsid w:val="00A46107"/>
    <w:rsid w:val="00A472E0"/>
    <w:rsid w:val="00A506A2"/>
    <w:rsid w:val="00A50D67"/>
    <w:rsid w:val="00A56FEF"/>
    <w:rsid w:val="00A57F15"/>
    <w:rsid w:val="00A6392F"/>
    <w:rsid w:val="00A64501"/>
    <w:rsid w:val="00A66037"/>
    <w:rsid w:val="00A6611B"/>
    <w:rsid w:val="00A66707"/>
    <w:rsid w:val="00A71F12"/>
    <w:rsid w:val="00A73405"/>
    <w:rsid w:val="00A740CE"/>
    <w:rsid w:val="00A757CF"/>
    <w:rsid w:val="00A75E83"/>
    <w:rsid w:val="00A81EF7"/>
    <w:rsid w:val="00A874A7"/>
    <w:rsid w:val="00A9223A"/>
    <w:rsid w:val="00A93590"/>
    <w:rsid w:val="00A93A67"/>
    <w:rsid w:val="00A942F1"/>
    <w:rsid w:val="00A961C7"/>
    <w:rsid w:val="00AA4D63"/>
    <w:rsid w:val="00AA7299"/>
    <w:rsid w:val="00AB05C6"/>
    <w:rsid w:val="00AB1536"/>
    <w:rsid w:val="00AB2D96"/>
    <w:rsid w:val="00AB35F6"/>
    <w:rsid w:val="00AB3952"/>
    <w:rsid w:val="00AB3D79"/>
    <w:rsid w:val="00AB52BC"/>
    <w:rsid w:val="00AB55B7"/>
    <w:rsid w:val="00AB7E35"/>
    <w:rsid w:val="00AC0512"/>
    <w:rsid w:val="00AC1A18"/>
    <w:rsid w:val="00AC3B87"/>
    <w:rsid w:val="00AC3C1A"/>
    <w:rsid w:val="00AC700A"/>
    <w:rsid w:val="00AC7A78"/>
    <w:rsid w:val="00AD0C4C"/>
    <w:rsid w:val="00AD0FF3"/>
    <w:rsid w:val="00AD1D31"/>
    <w:rsid w:val="00AD2274"/>
    <w:rsid w:val="00AD5089"/>
    <w:rsid w:val="00AD6D2D"/>
    <w:rsid w:val="00AE02FE"/>
    <w:rsid w:val="00AE22EB"/>
    <w:rsid w:val="00AF0A65"/>
    <w:rsid w:val="00AF304A"/>
    <w:rsid w:val="00AF341A"/>
    <w:rsid w:val="00AF46EC"/>
    <w:rsid w:val="00AF4880"/>
    <w:rsid w:val="00AF4925"/>
    <w:rsid w:val="00AF534A"/>
    <w:rsid w:val="00AF5F9C"/>
    <w:rsid w:val="00AF70CD"/>
    <w:rsid w:val="00AF70E4"/>
    <w:rsid w:val="00B00773"/>
    <w:rsid w:val="00B00A84"/>
    <w:rsid w:val="00B012B6"/>
    <w:rsid w:val="00B02BB5"/>
    <w:rsid w:val="00B0401B"/>
    <w:rsid w:val="00B04DEF"/>
    <w:rsid w:val="00B0501A"/>
    <w:rsid w:val="00B06EE9"/>
    <w:rsid w:val="00B10BFB"/>
    <w:rsid w:val="00B11DD2"/>
    <w:rsid w:val="00B15DD1"/>
    <w:rsid w:val="00B15E54"/>
    <w:rsid w:val="00B175DA"/>
    <w:rsid w:val="00B20EA7"/>
    <w:rsid w:val="00B223F6"/>
    <w:rsid w:val="00B26F5E"/>
    <w:rsid w:val="00B27AB8"/>
    <w:rsid w:val="00B36C55"/>
    <w:rsid w:val="00B4039B"/>
    <w:rsid w:val="00B424E7"/>
    <w:rsid w:val="00B427C3"/>
    <w:rsid w:val="00B43307"/>
    <w:rsid w:val="00B43DDE"/>
    <w:rsid w:val="00B44871"/>
    <w:rsid w:val="00B46A5C"/>
    <w:rsid w:val="00B46E5B"/>
    <w:rsid w:val="00B47C80"/>
    <w:rsid w:val="00B47E92"/>
    <w:rsid w:val="00B50D77"/>
    <w:rsid w:val="00B5299F"/>
    <w:rsid w:val="00B6228E"/>
    <w:rsid w:val="00B635E2"/>
    <w:rsid w:val="00B63ABB"/>
    <w:rsid w:val="00B64125"/>
    <w:rsid w:val="00B7238E"/>
    <w:rsid w:val="00B73A23"/>
    <w:rsid w:val="00B73A28"/>
    <w:rsid w:val="00B73EA7"/>
    <w:rsid w:val="00B76B80"/>
    <w:rsid w:val="00B77A24"/>
    <w:rsid w:val="00B816BD"/>
    <w:rsid w:val="00B81FD7"/>
    <w:rsid w:val="00B8387C"/>
    <w:rsid w:val="00B85D2E"/>
    <w:rsid w:val="00B91DD7"/>
    <w:rsid w:val="00B9351C"/>
    <w:rsid w:val="00B93727"/>
    <w:rsid w:val="00B9452C"/>
    <w:rsid w:val="00B95337"/>
    <w:rsid w:val="00B954B9"/>
    <w:rsid w:val="00BA0D5B"/>
    <w:rsid w:val="00BA1C31"/>
    <w:rsid w:val="00BA3E55"/>
    <w:rsid w:val="00BA6431"/>
    <w:rsid w:val="00BB058B"/>
    <w:rsid w:val="00BB06EC"/>
    <w:rsid w:val="00BB207C"/>
    <w:rsid w:val="00BB45F2"/>
    <w:rsid w:val="00BB545F"/>
    <w:rsid w:val="00BB6C10"/>
    <w:rsid w:val="00BC2A92"/>
    <w:rsid w:val="00BC2C1A"/>
    <w:rsid w:val="00BC42A4"/>
    <w:rsid w:val="00BC6E42"/>
    <w:rsid w:val="00BD0EF9"/>
    <w:rsid w:val="00BD122C"/>
    <w:rsid w:val="00BD2189"/>
    <w:rsid w:val="00BD29DE"/>
    <w:rsid w:val="00BD3BC1"/>
    <w:rsid w:val="00BD448E"/>
    <w:rsid w:val="00BE0918"/>
    <w:rsid w:val="00BE1588"/>
    <w:rsid w:val="00BE3B31"/>
    <w:rsid w:val="00BE3DF7"/>
    <w:rsid w:val="00BE40EA"/>
    <w:rsid w:val="00BE4ED8"/>
    <w:rsid w:val="00BE560E"/>
    <w:rsid w:val="00BE57CB"/>
    <w:rsid w:val="00BE5BBD"/>
    <w:rsid w:val="00BE7E2C"/>
    <w:rsid w:val="00BF0C07"/>
    <w:rsid w:val="00BF150F"/>
    <w:rsid w:val="00BF1F9C"/>
    <w:rsid w:val="00BF5153"/>
    <w:rsid w:val="00BF566D"/>
    <w:rsid w:val="00BF6BF9"/>
    <w:rsid w:val="00C0248B"/>
    <w:rsid w:val="00C035A9"/>
    <w:rsid w:val="00C065A0"/>
    <w:rsid w:val="00C06858"/>
    <w:rsid w:val="00C070E8"/>
    <w:rsid w:val="00C16E8C"/>
    <w:rsid w:val="00C23B7A"/>
    <w:rsid w:val="00C275C2"/>
    <w:rsid w:val="00C30EE6"/>
    <w:rsid w:val="00C31F9C"/>
    <w:rsid w:val="00C3213A"/>
    <w:rsid w:val="00C335D5"/>
    <w:rsid w:val="00C416F9"/>
    <w:rsid w:val="00C41D6C"/>
    <w:rsid w:val="00C4641A"/>
    <w:rsid w:val="00C46A01"/>
    <w:rsid w:val="00C511E3"/>
    <w:rsid w:val="00C52AA9"/>
    <w:rsid w:val="00C5437E"/>
    <w:rsid w:val="00C55FB5"/>
    <w:rsid w:val="00C6164C"/>
    <w:rsid w:val="00C62034"/>
    <w:rsid w:val="00C62B67"/>
    <w:rsid w:val="00C65A75"/>
    <w:rsid w:val="00C67EF3"/>
    <w:rsid w:val="00C716A4"/>
    <w:rsid w:val="00C72A8D"/>
    <w:rsid w:val="00C750D7"/>
    <w:rsid w:val="00C766B5"/>
    <w:rsid w:val="00C76847"/>
    <w:rsid w:val="00C76C3A"/>
    <w:rsid w:val="00C7798B"/>
    <w:rsid w:val="00C77C3F"/>
    <w:rsid w:val="00C8120F"/>
    <w:rsid w:val="00C8299D"/>
    <w:rsid w:val="00C83873"/>
    <w:rsid w:val="00C8416C"/>
    <w:rsid w:val="00C86C46"/>
    <w:rsid w:val="00C86F1B"/>
    <w:rsid w:val="00C8749C"/>
    <w:rsid w:val="00C94537"/>
    <w:rsid w:val="00C9589E"/>
    <w:rsid w:val="00CA0DD0"/>
    <w:rsid w:val="00CA3199"/>
    <w:rsid w:val="00CA61A3"/>
    <w:rsid w:val="00CA6565"/>
    <w:rsid w:val="00CB17EB"/>
    <w:rsid w:val="00CB5691"/>
    <w:rsid w:val="00CB7C6C"/>
    <w:rsid w:val="00CC018B"/>
    <w:rsid w:val="00CC6CF6"/>
    <w:rsid w:val="00CC75E1"/>
    <w:rsid w:val="00CD0FDA"/>
    <w:rsid w:val="00CD3B82"/>
    <w:rsid w:val="00CD4F47"/>
    <w:rsid w:val="00CE027B"/>
    <w:rsid w:val="00CE2EFC"/>
    <w:rsid w:val="00CE55F0"/>
    <w:rsid w:val="00CF10C0"/>
    <w:rsid w:val="00CF360D"/>
    <w:rsid w:val="00CF3723"/>
    <w:rsid w:val="00CF3F5B"/>
    <w:rsid w:val="00CF5A38"/>
    <w:rsid w:val="00D0266B"/>
    <w:rsid w:val="00D03D79"/>
    <w:rsid w:val="00D0527E"/>
    <w:rsid w:val="00D12DFA"/>
    <w:rsid w:val="00D13535"/>
    <w:rsid w:val="00D15FD2"/>
    <w:rsid w:val="00D165FF"/>
    <w:rsid w:val="00D166C9"/>
    <w:rsid w:val="00D17F26"/>
    <w:rsid w:val="00D22230"/>
    <w:rsid w:val="00D258F0"/>
    <w:rsid w:val="00D31233"/>
    <w:rsid w:val="00D31AF6"/>
    <w:rsid w:val="00D31E28"/>
    <w:rsid w:val="00D33115"/>
    <w:rsid w:val="00D33AEC"/>
    <w:rsid w:val="00D3593E"/>
    <w:rsid w:val="00D35BA0"/>
    <w:rsid w:val="00D52105"/>
    <w:rsid w:val="00D53667"/>
    <w:rsid w:val="00D54B1D"/>
    <w:rsid w:val="00D5565E"/>
    <w:rsid w:val="00D60512"/>
    <w:rsid w:val="00D6290A"/>
    <w:rsid w:val="00D6555E"/>
    <w:rsid w:val="00D6584A"/>
    <w:rsid w:val="00D6784B"/>
    <w:rsid w:val="00D67B61"/>
    <w:rsid w:val="00D7094C"/>
    <w:rsid w:val="00D70A56"/>
    <w:rsid w:val="00D7132E"/>
    <w:rsid w:val="00D72C81"/>
    <w:rsid w:val="00D7630D"/>
    <w:rsid w:val="00D80B2F"/>
    <w:rsid w:val="00D82DB4"/>
    <w:rsid w:val="00D84A60"/>
    <w:rsid w:val="00D85856"/>
    <w:rsid w:val="00D859F4"/>
    <w:rsid w:val="00D86E0D"/>
    <w:rsid w:val="00D900CF"/>
    <w:rsid w:val="00D9468B"/>
    <w:rsid w:val="00D95A42"/>
    <w:rsid w:val="00DA1202"/>
    <w:rsid w:val="00DA18A3"/>
    <w:rsid w:val="00DA6365"/>
    <w:rsid w:val="00DB03DD"/>
    <w:rsid w:val="00DB12D9"/>
    <w:rsid w:val="00DB17D3"/>
    <w:rsid w:val="00DB4088"/>
    <w:rsid w:val="00DB41DA"/>
    <w:rsid w:val="00DB444C"/>
    <w:rsid w:val="00DB5306"/>
    <w:rsid w:val="00DB53B3"/>
    <w:rsid w:val="00DB6A48"/>
    <w:rsid w:val="00DC3AF3"/>
    <w:rsid w:val="00DC51ED"/>
    <w:rsid w:val="00DD0E99"/>
    <w:rsid w:val="00DD3D98"/>
    <w:rsid w:val="00DD7AC3"/>
    <w:rsid w:val="00DE0F28"/>
    <w:rsid w:val="00DE10B9"/>
    <w:rsid w:val="00DE173F"/>
    <w:rsid w:val="00DE17DF"/>
    <w:rsid w:val="00DE36F9"/>
    <w:rsid w:val="00DE4AA3"/>
    <w:rsid w:val="00DE5097"/>
    <w:rsid w:val="00DE58D0"/>
    <w:rsid w:val="00DF2D60"/>
    <w:rsid w:val="00DF2DB3"/>
    <w:rsid w:val="00DF4164"/>
    <w:rsid w:val="00DF4DFC"/>
    <w:rsid w:val="00E0398A"/>
    <w:rsid w:val="00E079EF"/>
    <w:rsid w:val="00E1504E"/>
    <w:rsid w:val="00E15398"/>
    <w:rsid w:val="00E1792C"/>
    <w:rsid w:val="00E17ED1"/>
    <w:rsid w:val="00E20622"/>
    <w:rsid w:val="00E21CFF"/>
    <w:rsid w:val="00E22C02"/>
    <w:rsid w:val="00E244AA"/>
    <w:rsid w:val="00E2530B"/>
    <w:rsid w:val="00E26C7D"/>
    <w:rsid w:val="00E27C14"/>
    <w:rsid w:val="00E307C3"/>
    <w:rsid w:val="00E31ABC"/>
    <w:rsid w:val="00E354C0"/>
    <w:rsid w:val="00E35AA0"/>
    <w:rsid w:val="00E367F7"/>
    <w:rsid w:val="00E41ABF"/>
    <w:rsid w:val="00E44B25"/>
    <w:rsid w:val="00E45853"/>
    <w:rsid w:val="00E46FFA"/>
    <w:rsid w:val="00E511B1"/>
    <w:rsid w:val="00E53E6D"/>
    <w:rsid w:val="00E56BF2"/>
    <w:rsid w:val="00E57CB0"/>
    <w:rsid w:val="00E61AAF"/>
    <w:rsid w:val="00E70A73"/>
    <w:rsid w:val="00E71651"/>
    <w:rsid w:val="00E72D39"/>
    <w:rsid w:val="00E755BE"/>
    <w:rsid w:val="00E7582D"/>
    <w:rsid w:val="00E75B39"/>
    <w:rsid w:val="00E775B8"/>
    <w:rsid w:val="00E775C5"/>
    <w:rsid w:val="00E77972"/>
    <w:rsid w:val="00E80E17"/>
    <w:rsid w:val="00E8386F"/>
    <w:rsid w:val="00E83C4E"/>
    <w:rsid w:val="00E8451F"/>
    <w:rsid w:val="00E8544B"/>
    <w:rsid w:val="00E8663E"/>
    <w:rsid w:val="00E87B59"/>
    <w:rsid w:val="00E90B50"/>
    <w:rsid w:val="00E91B67"/>
    <w:rsid w:val="00E9240B"/>
    <w:rsid w:val="00E935E3"/>
    <w:rsid w:val="00E95FF4"/>
    <w:rsid w:val="00E963C6"/>
    <w:rsid w:val="00EA29F1"/>
    <w:rsid w:val="00EA2FAF"/>
    <w:rsid w:val="00EA3F94"/>
    <w:rsid w:val="00EA4961"/>
    <w:rsid w:val="00EA66CF"/>
    <w:rsid w:val="00EA68DE"/>
    <w:rsid w:val="00EA7427"/>
    <w:rsid w:val="00EB2601"/>
    <w:rsid w:val="00EB4E2A"/>
    <w:rsid w:val="00EB50E6"/>
    <w:rsid w:val="00EC028A"/>
    <w:rsid w:val="00EC5DD1"/>
    <w:rsid w:val="00EC6415"/>
    <w:rsid w:val="00EC7485"/>
    <w:rsid w:val="00ED0333"/>
    <w:rsid w:val="00ED2DE8"/>
    <w:rsid w:val="00EE04C1"/>
    <w:rsid w:val="00EE0C6C"/>
    <w:rsid w:val="00EE1AB4"/>
    <w:rsid w:val="00EE1C54"/>
    <w:rsid w:val="00EE4422"/>
    <w:rsid w:val="00EE7098"/>
    <w:rsid w:val="00EF29E9"/>
    <w:rsid w:val="00EF5EAF"/>
    <w:rsid w:val="00EF7F5F"/>
    <w:rsid w:val="00F02A15"/>
    <w:rsid w:val="00F030E6"/>
    <w:rsid w:val="00F032F0"/>
    <w:rsid w:val="00F0595D"/>
    <w:rsid w:val="00F10798"/>
    <w:rsid w:val="00F13D15"/>
    <w:rsid w:val="00F1534F"/>
    <w:rsid w:val="00F17242"/>
    <w:rsid w:val="00F2050E"/>
    <w:rsid w:val="00F21513"/>
    <w:rsid w:val="00F23668"/>
    <w:rsid w:val="00F257E4"/>
    <w:rsid w:val="00F263A6"/>
    <w:rsid w:val="00F276C7"/>
    <w:rsid w:val="00F278D8"/>
    <w:rsid w:val="00F27F36"/>
    <w:rsid w:val="00F308F7"/>
    <w:rsid w:val="00F3204B"/>
    <w:rsid w:val="00F33534"/>
    <w:rsid w:val="00F34379"/>
    <w:rsid w:val="00F357DE"/>
    <w:rsid w:val="00F35920"/>
    <w:rsid w:val="00F37BF6"/>
    <w:rsid w:val="00F41A59"/>
    <w:rsid w:val="00F45C8A"/>
    <w:rsid w:val="00F46BD6"/>
    <w:rsid w:val="00F50AB7"/>
    <w:rsid w:val="00F50E14"/>
    <w:rsid w:val="00F510A2"/>
    <w:rsid w:val="00F552E3"/>
    <w:rsid w:val="00F553F1"/>
    <w:rsid w:val="00F55920"/>
    <w:rsid w:val="00F56C8C"/>
    <w:rsid w:val="00F60B9F"/>
    <w:rsid w:val="00F61513"/>
    <w:rsid w:val="00F62D4E"/>
    <w:rsid w:val="00F62FB1"/>
    <w:rsid w:val="00F655BD"/>
    <w:rsid w:val="00F660EC"/>
    <w:rsid w:val="00F67227"/>
    <w:rsid w:val="00F715DD"/>
    <w:rsid w:val="00F71E77"/>
    <w:rsid w:val="00F83DDA"/>
    <w:rsid w:val="00F84154"/>
    <w:rsid w:val="00F85646"/>
    <w:rsid w:val="00F874F8"/>
    <w:rsid w:val="00F9190A"/>
    <w:rsid w:val="00F9674E"/>
    <w:rsid w:val="00F97804"/>
    <w:rsid w:val="00FA14E6"/>
    <w:rsid w:val="00FA165A"/>
    <w:rsid w:val="00FA4F8C"/>
    <w:rsid w:val="00FA5149"/>
    <w:rsid w:val="00FB2250"/>
    <w:rsid w:val="00FB48F3"/>
    <w:rsid w:val="00FB6501"/>
    <w:rsid w:val="00FB6E1A"/>
    <w:rsid w:val="00FC2EEC"/>
    <w:rsid w:val="00FC2F1A"/>
    <w:rsid w:val="00FC39C5"/>
    <w:rsid w:val="00FC5B5E"/>
    <w:rsid w:val="00FC7210"/>
    <w:rsid w:val="00FD033D"/>
    <w:rsid w:val="00FD03C3"/>
    <w:rsid w:val="00FD129B"/>
    <w:rsid w:val="00FD2D49"/>
    <w:rsid w:val="00FD57CD"/>
    <w:rsid w:val="00FD5DF4"/>
    <w:rsid w:val="00FD662A"/>
    <w:rsid w:val="00FD6B86"/>
    <w:rsid w:val="00FD710B"/>
    <w:rsid w:val="00FD75F5"/>
    <w:rsid w:val="00FE25CA"/>
    <w:rsid w:val="00FE36C1"/>
    <w:rsid w:val="00FE3B0C"/>
    <w:rsid w:val="00FE4468"/>
    <w:rsid w:val="00FE5043"/>
    <w:rsid w:val="00FE63C0"/>
    <w:rsid w:val="00FF0F0E"/>
    <w:rsid w:val="00FF337D"/>
    <w:rsid w:val="00FF46AA"/>
    <w:rsid w:val="00FF4CDC"/>
    <w:rsid w:val="00FF5138"/>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colormru v:ext="edit" colors="white"/>
    </o:shapedefaults>
    <o:shapelayout v:ext="edit">
      <o:idmap v:ext="edit" data="1"/>
    </o:shapelayout>
  </w:shapeDefaults>
  <w:decimalSymbol w:val=","/>
  <w:listSeparator w:val=";"/>
  <w14:docId w14:val="3721DF81"/>
  <w15:docId w15:val="{B639C208-FFC2-4260-9C7B-CB0D0E46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CF10C0"/>
    <w:rPr>
      <w:color w:val="605E5C"/>
      <w:shd w:val="clear" w:color="auto" w:fill="E1DFDD"/>
    </w:rPr>
  </w:style>
  <w:style w:type="paragraph" w:customStyle="1" w:styleId="MiniHeading">
    <w:name w:val="MiniHeading"/>
    <w:basedOn w:val="Normln"/>
    <w:link w:val="MiniHeadingChar"/>
    <w:qFormat/>
    <w:rsid w:val="00FB2250"/>
    <w:pPr>
      <w:spacing w:before="120" w:after="120" w:line="264" w:lineRule="auto"/>
      <w:jc w:val="both"/>
    </w:pPr>
    <w:rPr>
      <w:rFonts w:asciiTheme="minorHAnsi" w:hAnsiTheme="minorHAnsi"/>
      <w:b/>
      <w:color w:val="20344B"/>
      <w:sz w:val="20"/>
      <w:u w:val="single"/>
      <w:lang w:eastAsia="en-GB"/>
    </w:rPr>
  </w:style>
  <w:style w:type="character" w:customStyle="1" w:styleId="MiniHeadingChar">
    <w:name w:val="MiniHeading Char"/>
    <w:basedOn w:val="Standardnpsmoodstavce"/>
    <w:link w:val="MiniHeading"/>
    <w:rsid w:val="00FB2250"/>
    <w:rPr>
      <w:rFonts w:asciiTheme="minorHAnsi" w:hAnsiTheme="minorHAnsi"/>
      <w:b/>
      <w:color w:val="20344B"/>
      <w:szCs w:val="24"/>
      <w:u w:val="single"/>
      <w:lang w:eastAsia="en-GB"/>
    </w:rPr>
  </w:style>
  <w:style w:type="paragraph" w:customStyle="1" w:styleId="NumPar1">
    <w:name w:val="NumPar 1"/>
    <w:basedOn w:val="Normln"/>
    <w:next w:val="Normln"/>
    <w:rsid w:val="00CF360D"/>
    <w:pPr>
      <w:numPr>
        <w:numId w:val="11"/>
      </w:numPr>
      <w:tabs>
        <w:tab w:val="left" w:pos="851"/>
      </w:tabs>
      <w:spacing w:before="120"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04240650">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292432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profile_display_2.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eronika.redlova@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contract_display_8343.html" TargetMode="External"/><Relationship Id="rId5" Type="http://schemas.openxmlformats.org/officeDocument/2006/relationships/numbering" Target="numbering.xml"/><Relationship Id="rId15" Type="http://schemas.openxmlformats.org/officeDocument/2006/relationships/hyperlink" Target="https://ezak.kr-karlovarsky.cz/vz0000843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597A43B-741A-40D1-B151-CAD3B3C3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TotalTime>
  <Pages>8</Pages>
  <Words>2819</Words>
  <Characters>17476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Redlová Veronika</cp:lastModifiedBy>
  <cp:revision>5</cp:revision>
  <cp:lastPrinted>2024-04-19T06:03:00Z</cp:lastPrinted>
  <dcterms:created xsi:type="dcterms:W3CDTF">2025-04-04T08:10:00Z</dcterms:created>
  <dcterms:modified xsi:type="dcterms:W3CDTF">2025-04-04T08:29:00Z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