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F32E92">
        <w:rPr>
          <w:b/>
          <w:color w:val="73767C"/>
        </w:rPr>
        <w:t>1a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:rsidR="003231FD" w:rsidRDefault="001F448B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5EE57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1C23F2" w:rsidRDefault="003231FD">
      <w:pPr>
        <w:pStyle w:val="Nadpis2"/>
        <w:spacing w:line="241" w:lineRule="exact"/>
      </w:pPr>
      <w:bookmarkStart w:id="2" w:name="_GoBack"/>
      <w:bookmarkEnd w:id="2"/>
      <w:r w:rsidRPr="003231FD">
        <w:rPr>
          <w:spacing w:val="-2"/>
        </w:rPr>
        <w:t>Cyklostezka Ohře – Pomezí-Cheb – výkon technického dozoru stavebníka</w:t>
      </w: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BB09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85EDB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2A74A2"/>
    <w:rsid w:val="003231FD"/>
    <w:rsid w:val="0046744D"/>
    <w:rsid w:val="00682A7E"/>
    <w:rsid w:val="00711219"/>
    <w:rsid w:val="00CA3C13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5FE806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8</cp:revision>
  <dcterms:created xsi:type="dcterms:W3CDTF">2024-05-06T08:04:00Z</dcterms:created>
  <dcterms:modified xsi:type="dcterms:W3CDTF">2025-03-13T10:00:00Z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