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4EB6" w:rsidRDefault="00D07BDC">
      <w:pPr>
        <w:spacing w:after="153" w:line="264" w:lineRule="auto"/>
        <w:ind w:left="10" w:hanging="10"/>
        <w:jc w:val="center"/>
      </w:pPr>
      <w:r>
        <w:rPr>
          <w:b/>
        </w:rPr>
        <w:t>DOHODA O OCHRANĚ DŮVĚRNÝCH INFORMACÍ A OBCHODNÍHO TAJEMSTVÍ</w:t>
      </w:r>
    </w:p>
    <w:p w:rsidR="00494EB6" w:rsidRDefault="00D07BDC">
      <w:pPr>
        <w:spacing w:after="153" w:line="264" w:lineRule="auto"/>
        <w:ind w:left="10" w:hanging="10"/>
        <w:jc w:val="center"/>
      </w:pPr>
      <w:r>
        <w:rPr>
          <w:b/>
        </w:rPr>
        <w:t>(dále jen „Dohoda“)</w:t>
      </w:r>
    </w:p>
    <w:p w:rsidR="00494EB6" w:rsidRDefault="00D07BDC">
      <w:pPr>
        <w:spacing w:after="618" w:line="257" w:lineRule="auto"/>
        <w:ind w:left="0" w:firstLine="0"/>
        <w:jc w:val="center"/>
      </w:pPr>
      <w:r>
        <w:t>uzavřená v souladu s §1746 odst. 2 ve smyslu §1730 odst. 2 zák. č. 89/2012 Sb., občanský zákoník, v platném znění</w:t>
      </w:r>
    </w:p>
    <w:p w:rsidR="00D07BDC" w:rsidRDefault="00D07BDC" w:rsidP="00D07BDC">
      <w:pPr>
        <w:spacing w:after="0" w:line="395" w:lineRule="auto"/>
        <w:ind w:left="-15" w:right="6479" w:firstLine="0"/>
        <w:jc w:val="left"/>
      </w:pPr>
      <w:r>
        <w:t>Smluvní</w:t>
      </w:r>
      <w:r w:rsidR="00976823">
        <w:t xml:space="preserve"> </w:t>
      </w:r>
      <w:r>
        <w:t xml:space="preserve">strany: </w:t>
      </w:r>
    </w:p>
    <w:p w:rsidR="00494EB6" w:rsidRPr="00D07BDC" w:rsidRDefault="00D07BDC" w:rsidP="00D07BDC">
      <w:pPr>
        <w:spacing w:after="0" w:line="395" w:lineRule="auto"/>
        <w:ind w:left="-15" w:right="6479" w:firstLine="0"/>
        <w:jc w:val="left"/>
        <w:rPr>
          <w:b/>
        </w:rPr>
      </w:pPr>
      <w:r w:rsidRPr="001B4DB2">
        <w:rPr>
          <w:b/>
          <w:highlight w:val="yellow"/>
        </w:rPr>
        <w:t>xxxxxxxx</w:t>
      </w:r>
    </w:p>
    <w:p w:rsidR="00494EB6" w:rsidRDefault="00D07BDC">
      <w:pPr>
        <w:ind w:left="-15" w:firstLine="0"/>
      </w:pPr>
      <w:r>
        <w:t>se sídlem</w:t>
      </w:r>
      <w:r w:rsidR="00070BE3">
        <w:t>:</w:t>
      </w:r>
      <w:r>
        <w:t xml:space="preserve"> </w:t>
      </w:r>
      <w:r w:rsidR="002234C4">
        <w:tab/>
      </w:r>
      <w:r w:rsidRPr="001B4DB2">
        <w:rPr>
          <w:highlight w:val="yellow"/>
        </w:rPr>
        <w:t>xxxxxxxx</w:t>
      </w:r>
    </w:p>
    <w:p w:rsidR="00494EB6" w:rsidRDefault="00D07BDC">
      <w:pPr>
        <w:ind w:left="-15" w:firstLine="0"/>
      </w:pPr>
      <w:r>
        <w:t xml:space="preserve">Zastoupená: </w:t>
      </w:r>
      <w:r w:rsidR="002234C4">
        <w:tab/>
      </w:r>
      <w:r w:rsidRPr="001B4DB2">
        <w:rPr>
          <w:highlight w:val="yellow"/>
        </w:rPr>
        <w:t>xxxxxxxx</w:t>
      </w:r>
    </w:p>
    <w:p w:rsidR="00494EB6" w:rsidRDefault="00D07BDC" w:rsidP="00D07BDC">
      <w:pPr>
        <w:ind w:left="-15" w:firstLine="0"/>
      </w:pPr>
      <w:r>
        <w:t xml:space="preserve">IČO: </w:t>
      </w:r>
      <w:r w:rsidR="002234C4">
        <w:tab/>
      </w:r>
      <w:r w:rsidR="002234C4">
        <w:tab/>
      </w:r>
      <w:r w:rsidRPr="001B4DB2">
        <w:rPr>
          <w:highlight w:val="yellow"/>
        </w:rPr>
        <w:t>xxxxxxxx</w:t>
      </w:r>
    </w:p>
    <w:p w:rsidR="00494EB6" w:rsidRDefault="00D07BDC">
      <w:pPr>
        <w:ind w:left="-15" w:firstLine="0"/>
      </w:pPr>
      <w:r>
        <w:t xml:space="preserve">DIČ: </w:t>
      </w:r>
      <w:r w:rsidR="002234C4">
        <w:tab/>
      </w:r>
      <w:r w:rsidR="002234C4">
        <w:tab/>
      </w:r>
      <w:r w:rsidRPr="001B4DB2">
        <w:rPr>
          <w:highlight w:val="yellow"/>
        </w:rPr>
        <w:t>xxxxxxxx</w:t>
      </w:r>
    </w:p>
    <w:p w:rsidR="00494EB6" w:rsidRDefault="00D07BDC">
      <w:pPr>
        <w:spacing w:after="626"/>
        <w:ind w:left="-15" w:firstLine="0"/>
      </w:pPr>
      <w:r>
        <w:t>(dále jen „Dodavatel“)</w:t>
      </w:r>
    </w:p>
    <w:p w:rsidR="00494EB6" w:rsidRDefault="00D07BDC">
      <w:pPr>
        <w:ind w:left="-15" w:firstLine="0"/>
      </w:pPr>
      <w:r>
        <w:t xml:space="preserve">a </w:t>
      </w:r>
    </w:p>
    <w:p w:rsidR="00070BE3" w:rsidRDefault="00D07BDC" w:rsidP="00D07BDC">
      <w:pPr>
        <w:spacing w:after="0" w:line="395" w:lineRule="auto"/>
        <w:ind w:left="-15" w:right="3500" w:firstLine="0"/>
        <w:jc w:val="left"/>
        <w:rPr>
          <w:b/>
        </w:rPr>
      </w:pPr>
      <w:r>
        <w:rPr>
          <w:b/>
        </w:rPr>
        <w:t xml:space="preserve">Krajská knihovna Karlovy Vary </w:t>
      </w:r>
    </w:p>
    <w:p w:rsidR="00494EB6" w:rsidRDefault="00D07BDC" w:rsidP="00070BE3">
      <w:pPr>
        <w:spacing w:after="0" w:line="395" w:lineRule="auto"/>
        <w:ind w:left="-15" w:right="1371" w:firstLine="0"/>
        <w:jc w:val="left"/>
      </w:pPr>
      <w:r>
        <w:t>se sídlem</w:t>
      </w:r>
      <w:r w:rsidR="00070BE3">
        <w:t>:</w:t>
      </w:r>
      <w:r w:rsidR="00070BE3">
        <w:tab/>
      </w:r>
      <w:r>
        <w:t xml:space="preserve">Závodní 378/84, 360 06, Karlovy </w:t>
      </w:r>
      <w:r w:rsidR="002234C4">
        <w:t>Vary</w:t>
      </w:r>
      <w:r w:rsidR="00070BE3">
        <w:t xml:space="preserve"> - Dvory</w:t>
      </w:r>
    </w:p>
    <w:p w:rsidR="00494EB6" w:rsidRDefault="00D07BDC">
      <w:pPr>
        <w:ind w:left="-15" w:firstLine="0"/>
      </w:pPr>
      <w:r>
        <w:t xml:space="preserve">Zastoupená: </w:t>
      </w:r>
      <w:r w:rsidR="00070BE3">
        <w:tab/>
      </w:r>
      <w:r w:rsidR="00070BE3">
        <w:t>PaedDr.</w:t>
      </w:r>
      <w:r w:rsidR="00070BE3">
        <w:t xml:space="preserve"> Vratislavem Emlerem</w:t>
      </w:r>
      <w:r>
        <w:t>, ředitel</w:t>
      </w:r>
      <w:r w:rsidR="00070BE3">
        <w:t>em</w:t>
      </w:r>
    </w:p>
    <w:p w:rsidR="00494EB6" w:rsidRDefault="00D07BDC">
      <w:pPr>
        <w:ind w:left="-15" w:firstLine="0"/>
      </w:pPr>
      <w:r>
        <w:t xml:space="preserve">IČO: </w:t>
      </w:r>
      <w:r w:rsidR="00070BE3">
        <w:tab/>
      </w:r>
      <w:r w:rsidR="00070BE3">
        <w:tab/>
      </w:r>
      <w:r>
        <w:t>70966206</w:t>
      </w:r>
    </w:p>
    <w:p w:rsidR="00494EB6" w:rsidRDefault="00D07BDC">
      <w:pPr>
        <w:ind w:left="-15" w:firstLine="0"/>
      </w:pPr>
      <w:r>
        <w:t xml:space="preserve">DIC: </w:t>
      </w:r>
      <w:r w:rsidR="00070BE3">
        <w:tab/>
      </w:r>
      <w:r w:rsidR="00070BE3">
        <w:tab/>
      </w:r>
      <w:r>
        <w:t>CZ70966206</w:t>
      </w:r>
    </w:p>
    <w:p w:rsidR="00494EB6" w:rsidRDefault="00D07BDC">
      <w:pPr>
        <w:spacing w:after="626"/>
        <w:ind w:left="-15" w:firstLine="0"/>
      </w:pPr>
      <w:r>
        <w:t>(dále jen „Objednavatel“)</w:t>
      </w:r>
    </w:p>
    <w:p w:rsidR="00494EB6" w:rsidRDefault="00D07BDC">
      <w:pPr>
        <w:spacing w:after="1541"/>
        <w:ind w:left="-15" w:firstLine="0"/>
      </w:pPr>
      <w:r>
        <w:t>(dále společně jako „smluvní strany“ nebo „strany“)</w:t>
      </w:r>
    </w:p>
    <w:p w:rsidR="00494EB6" w:rsidRDefault="00D07BDC">
      <w:pPr>
        <w:spacing w:after="429" w:line="264" w:lineRule="auto"/>
        <w:ind w:left="10" w:hanging="10"/>
        <w:jc w:val="center"/>
      </w:pPr>
      <w:r>
        <w:rPr>
          <w:b/>
        </w:rPr>
        <w:t>Preambule</w:t>
      </w:r>
    </w:p>
    <w:p w:rsidR="00494EB6" w:rsidRDefault="00D07BDC">
      <w:pPr>
        <w:ind w:left="-15" w:firstLine="0"/>
      </w:pPr>
      <w:r>
        <w:t xml:space="preserve">Vzhledem k vzájemné spolupráci v záhlaví této dohody uvedených smluvních stran při možné budoucí realizaci projektu v oblasti digitálního pracoviště (dále jako „Projekt“) a vzhledem k nezbytnosti vzájemné výměny některých informací důvěrného charakteru již ve fázi přípravy </w:t>
      </w:r>
      <w:r>
        <w:lastRenderedPageBreak/>
        <w:t xml:space="preserve">vlastní spolupráce nebo samotné realizace Projektu se smluvní strany níže uvedeného dne, měsíce a roku dohodly takto:   </w:t>
      </w:r>
    </w:p>
    <w:p w:rsidR="00494EB6" w:rsidRDefault="00D07BDC">
      <w:pPr>
        <w:spacing w:after="610" w:line="264" w:lineRule="auto"/>
        <w:ind w:left="10" w:hanging="10"/>
        <w:jc w:val="center"/>
      </w:pPr>
      <w:r>
        <w:rPr>
          <w:b/>
        </w:rPr>
        <w:t>I.</w:t>
      </w:r>
    </w:p>
    <w:p w:rsidR="00494EB6" w:rsidRDefault="00D07BDC">
      <w:pPr>
        <w:spacing w:after="0"/>
        <w:ind w:left="355"/>
      </w:pPr>
      <w:r>
        <w:t>1.1.Smluvní strany prohlašují, že veškeré důvěrné podklady a důvěrné informace, které od sebe navzájem získají, budou použity výhradně pro potřebu přípravy a realizace konkrétního Projektu nebo vzájemné spolupráce. Tyto důvěrné informace nebudou poskytnuty v žádné formě třetím osobám (vyjma svým subdodavatelům, kteří s důvěrnými informacemi musí být seznámeni pro řádné plnění Projektu a jejichž jména je předávající strana povinna písemně oznámit druhé straně) ani nebudou použity smluvními stranami k žádnému dalšímu účelu, pokud nedojde k písemné dohodě, která by nakládání s informacemi tohoto charakteru upravila způsobem odlišným.</w:t>
      </w:r>
    </w:p>
    <w:p w:rsidR="00494EB6" w:rsidRDefault="00D07BDC">
      <w:pPr>
        <w:spacing w:after="626"/>
        <w:ind w:left="360" w:firstLine="0"/>
      </w:pPr>
      <w:r>
        <w:t xml:space="preserve">Smluvní strany se zavazují po zde sjednanou dobu ochraňovat důvěrné informace obvyklým způsobem, přinejmenším však, jako by se jednalo o důvěrné informace jejich vlastní. </w:t>
      </w:r>
    </w:p>
    <w:p w:rsidR="00494EB6" w:rsidRDefault="00D07BDC">
      <w:pPr>
        <w:spacing w:after="447"/>
        <w:ind w:left="355"/>
      </w:pPr>
      <w:r>
        <w:t xml:space="preserve">1.2.Za důvěrné podklady a důvěrné informace podle předchozího odstavce se bez ohledu na formu jejich zachycení považují veškeré podklady a informace, které byly některou ze smluvních stran označeny jako důvěrné, a které se týkají konkrétního projektu nebo spolupráce anebo podklady a informace, které se týkají přímo některé ze smluvních stran (zejména obchodní tajemství, informace o činnosti, struktuře, hospodářských výsledcích, know-how, připravovaných projektech apod.). </w:t>
      </w:r>
    </w:p>
    <w:p w:rsidR="00494EB6" w:rsidRDefault="00D07BDC">
      <w:pPr>
        <w:spacing w:after="1084"/>
        <w:ind w:left="355"/>
      </w:pPr>
      <w:r>
        <w:t xml:space="preserve">1.3.Smluvní strany se dále zavazují považovat za důvěrné podle tohoto ustanovení taktéž veškeré neveřejné informace, mající povahu obchodního tajemství nebo důvěrné informace, vzájemně získané ústním podáním některé ze smluvních stran. </w:t>
      </w:r>
    </w:p>
    <w:p w:rsidR="00494EB6" w:rsidRDefault="00D07BDC">
      <w:pPr>
        <w:spacing w:after="610" w:line="264" w:lineRule="auto"/>
        <w:ind w:left="10" w:hanging="10"/>
        <w:jc w:val="center"/>
      </w:pPr>
      <w:r>
        <w:rPr>
          <w:b/>
        </w:rPr>
        <w:t>II.</w:t>
      </w:r>
    </w:p>
    <w:p w:rsidR="00494EB6" w:rsidRDefault="00D07BDC">
      <w:pPr>
        <w:spacing w:after="265"/>
        <w:ind w:left="355"/>
      </w:pPr>
      <w:r>
        <w:t>2.1.V případě, že předané důvěrné informace nebo obchodní tajemství již smluvní strany dále k realizaci projektu nebo za účelem vzájemné spolupráce nepotřebují, zavazují se strany této dohody vrátit si vzájemně do tří pracovních dnů veškeré si v písemné či elektronické podobě poskytnuté podklady a informace, případně zničit jejich elektronický tvar na nosičích ve vlastním systému. Lhůta 3 pracovních dnů počíná běžet dnem následujícím po obdržení písemné žádosti smluvní strany k vrácení předaných informací nebo dnem následujícím po dni, kdy smluvní strana písemně ohlásí druhé straně, že se daný Projekt nebude realizovat.</w:t>
      </w:r>
    </w:p>
    <w:p w:rsidR="00494EB6" w:rsidRDefault="00D07BDC">
      <w:pPr>
        <w:spacing w:after="0"/>
        <w:ind w:left="355"/>
      </w:pPr>
      <w:r>
        <w:t xml:space="preserve">2.2.V případě ukončení smluvního vztahu z jakéhokoli důvodu je dodavatel povinen provést likvidaci dat přípustným způsobem podle úrovně důležitosti aktiva „kritické“ a nosiče </w:t>
      </w:r>
      <w:r>
        <w:lastRenderedPageBreak/>
        <w:t xml:space="preserve">informace „cloud“ dle vyhlášky č.82/2018 Sb. přílohy číslo 4 a o provedení bezpečného výmazu bude Objednatel ujištěn protokolem. Neprodleně (nejpozději však do 3 dnů) po ukončení Projektu budou data bezpečně vymazána. </w:t>
      </w:r>
    </w:p>
    <w:p w:rsidR="00494EB6" w:rsidRDefault="00D07BDC">
      <w:pPr>
        <w:spacing w:after="0" w:line="259" w:lineRule="auto"/>
        <w:ind w:left="0" w:firstLine="0"/>
        <w:jc w:val="left"/>
      </w:pPr>
      <w:r>
        <w:t xml:space="preserve"> </w:t>
      </w:r>
    </w:p>
    <w:p w:rsidR="00494EB6" w:rsidRDefault="00D07BDC">
      <w:pPr>
        <w:spacing w:after="610" w:line="264" w:lineRule="auto"/>
        <w:ind w:left="10" w:hanging="10"/>
        <w:jc w:val="center"/>
      </w:pPr>
      <w:r>
        <w:rPr>
          <w:b/>
        </w:rPr>
        <w:t>III.</w:t>
      </w:r>
    </w:p>
    <w:p w:rsidR="00494EB6" w:rsidRDefault="00D07BDC">
      <w:pPr>
        <w:spacing w:after="447"/>
        <w:ind w:left="355"/>
      </w:pPr>
      <w:r>
        <w:t>3.1.Tato dohoda se netýká informací, obsažených ve veřejně dostupných materiálech, které smluvní strany poskytují svým anonymním zákazníkům v jakékoli formě. Týká se však takových informací, které jsou vypracovány přímo pro druhou smluvní stranu, jsou takto označeny a mají současně povahu informací, uvedených v čl. I této dohody.</w:t>
      </w:r>
    </w:p>
    <w:p w:rsidR="00494EB6" w:rsidRDefault="00D07BDC">
      <w:pPr>
        <w:spacing w:after="447"/>
        <w:ind w:left="355"/>
      </w:pPr>
      <w:r>
        <w:t xml:space="preserve">3.2.Závazkem ochrany veškerých informací, uvedených v čl. I této dohody, jsou smluvní strany vázány od okamžiku podpisu této dohody s tím, že tento závazek trvá dále po dobu 3 roků od ukončení spolupráce. </w:t>
      </w:r>
    </w:p>
    <w:p w:rsidR="00494EB6" w:rsidRDefault="00D07BDC">
      <w:pPr>
        <w:spacing w:after="447"/>
        <w:ind w:left="355"/>
      </w:pPr>
      <w:r>
        <w:t>3.3.Povinnost ochrany smluvních stran ve vztahu k informacím, které si navzájem poskytnou při vlastní realizaci Projektu, může být dále upravena zvláštními ustanoveními příslušné smlouvy, pokud bude smluvními stranami uzavřena.</w:t>
      </w:r>
    </w:p>
    <w:p w:rsidR="00494EB6" w:rsidRDefault="00D07BDC">
      <w:pPr>
        <w:numPr>
          <w:ilvl w:val="0"/>
          <w:numId w:val="1"/>
        </w:numPr>
        <w:spacing w:after="767"/>
        <w:ind w:hanging="180"/>
      </w:pPr>
      <w:r>
        <w:t>4.Bez ohledu na výše uvedená ustanovení se za důvěrné nepovažují informace, které:</w:t>
      </w:r>
    </w:p>
    <w:p w:rsidR="00494EB6" w:rsidRDefault="00D07BDC">
      <w:pPr>
        <w:numPr>
          <w:ilvl w:val="1"/>
          <w:numId w:val="1"/>
        </w:numPr>
        <w:spacing w:after="35"/>
        <w:ind w:hanging="360"/>
      </w:pPr>
      <w:r>
        <w:t>se staly veřejně známými, aniž by to zavinila záměrně či opomenutím strana přijímající dle této dohody důvěrnou informaci,</w:t>
      </w:r>
    </w:p>
    <w:p w:rsidR="00494EB6" w:rsidRDefault="00D07BDC">
      <w:pPr>
        <w:numPr>
          <w:ilvl w:val="1"/>
          <w:numId w:val="1"/>
        </w:numPr>
        <w:spacing w:after="36"/>
        <w:ind w:hanging="360"/>
      </w:pPr>
      <w:r>
        <w:t>měla přijímající strana legálně k dispozici před uzavřením této dohody, pokud takové informace nebyly předmětem jiné, dříve mezi smluvními stranami uzavřené smlouvy o ochraně informací,</w:t>
      </w:r>
    </w:p>
    <w:p w:rsidR="00494EB6" w:rsidRDefault="00D07BDC">
      <w:pPr>
        <w:numPr>
          <w:ilvl w:val="1"/>
          <w:numId w:val="1"/>
        </w:numPr>
        <w:spacing w:after="35"/>
        <w:ind w:hanging="360"/>
      </w:pPr>
      <w:r>
        <w:t>jsou výsledkem postupu, při kterém k nim přijímající strana dospěje nezávisle a je to schopna doložit svými záznamy nebo informacemi třetí strany,</w:t>
      </w:r>
    </w:p>
    <w:p w:rsidR="00494EB6" w:rsidRDefault="00D07BDC">
      <w:pPr>
        <w:numPr>
          <w:ilvl w:val="1"/>
          <w:numId w:val="1"/>
        </w:numPr>
        <w:spacing w:after="446"/>
        <w:ind w:hanging="360"/>
      </w:pPr>
      <w:r>
        <w:t>po podpisu této dohody poskytne přijímající straně třetí osoba, jež takové informace přitom nezíská přímo ani nepřímo od strany, jež je jejich vlastníkem.</w:t>
      </w:r>
    </w:p>
    <w:p w:rsidR="00494EB6" w:rsidRDefault="00D07BDC">
      <w:pPr>
        <w:spacing w:after="610" w:line="264" w:lineRule="auto"/>
        <w:ind w:left="10" w:hanging="10"/>
        <w:jc w:val="center"/>
      </w:pPr>
      <w:r>
        <w:rPr>
          <w:b/>
        </w:rPr>
        <w:t>IV.</w:t>
      </w:r>
    </w:p>
    <w:p w:rsidR="00494EB6" w:rsidRDefault="00D07BDC">
      <w:pPr>
        <w:numPr>
          <w:ilvl w:val="0"/>
          <w:numId w:val="1"/>
        </w:numPr>
        <w:spacing w:after="541"/>
        <w:ind w:hanging="180"/>
      </w:pPr>
      <w:r>
        <w:t xml:space="preserve">1.Strany této dohody se dále pro případ každého jednotlivého prokázaného porušení povinnosti ochrany důvěrných informací dle této dohody dohodly na smluvní pokutě ve výši 1 000.000, - Kč. Smluvní pokuta je splatná na základě faktury zaslané poškozenou smluvní stranou druhé smluvní straně. Jejím zaplacením není dotčen nárok poškozené smluvní strany na náhradu škody, jež by jí takovýmto porušením smluvní povinnosti vznikla. </w:t>
      </w:r>
    </w:p>
    <w:p w:rsidR="00494EB6" w:rsidRDefault="00D07BDC">
      <w:pPr>
        <w:spacing w:after="610" w:line="264" w:lineRule="auto"/>
        <w:ind w:left="10" w:hanging="10"/>
        <w:jc w:val="center"/>
      </w:pPr>
      <w:r>
        <w:rPr>
          <w:b/>
        </w:rPr>
        <w:t>V.</w:t>
      </w:r>
    </w:p>
    <w:p w:rsidR="00494EB6" w:rsidRDefault="00D07BDC">
      <w:pPr>
        <w:ind w:left="355"/>
      </w:pPr>
      <w:r>
        <w:lastRenderedPageBreak/>
        <w:t>5.1.V případě, že bude mezi smluvními stranami uzavřena zvláštní smlouva na ochranu informací vážící se ke konkrétnímu projetu, má taková smlouva vždy přednost před ustanovením této dohody.</w:t>
      </w:r>
    </w:p>
    <w:p w:rsidR="00494EB6" w:rsidRDefault="00D07BDC">
      <w:pPr>
        <w:spacing w:after="158" w:line="259" w:lineRule="auto"/>
        <w:ind w:left="360" w:firstLine="0"/>
        <w:jc w:val="left"/>
      </w:pPr>
      <w:r>
        <w:t xml:space="preserve"> </w:t>
      </w:r>
    </w:p>
    <w:p w:rsidR="00494EB6" w:rsidRDefault="00D07BDC">
      <w:pPr>
        <w:numPr>
          <w:ilvl w:val="0"/>
          <w:numId w:val="1"/>
        </w:numPr>
        <w:spacing w:after="447"/>
        <w:ind w:hanging="180"/>
      </w:pPr>
      <w:r>
        <w:t>2.Smluvní plnění ze strany dodavatele je s výhradou, že nevzniknou žádné překážky na základě národních nebo mezinárodních předpisů z oblasti práva mezinárodního obchodu, anebo na základě embarg (či jiných sankcí). Dodavatel není povinen uhradit škodu tím způsobenou.</w:t>
      </w:r>
    </w:p>
    <w:p w:rsidR="00494EB6" w:rsidRDefault="00D07BDC">
      <w:pPr>
        <w:spacing w:after="447"/>
        <w:ind w:left="355"/>
      </w:pPr>
      <w:r>
        <w:t>5.3.Tato dohoda nezakládá žádný právní nárok ani jedné ze smluvních stran na uzavření příslušné smlouvy, případně na jakoukoliv další spolupráci a nemá povahu smlouvy o smlouvě budoucí.</w:t>
      </w:r>
    </w:p>
    <w:p w:rsidR="00494EB6" w:rsidRDefault="00D07BDC">
      <w:pPr>
        <w:spacing w:after="447"/>
        <w:ind w:left="355"/>
      </w:pPr>
      <w:r>
        <w:t>5.4.Tato dohoda nabývá platnosti a účinnosti dnem jejího podpisu oprávněnými zástupci smluvních stran.</w:t>
      </w:r>
    </w:p>
    <w:p w:rsidR="00494EB6" w:rsidRDefault="00D07BDC">
      <w:pPr>
        <w:spacing w:after="1599"/>
        <w:ind w:left="355"/>
      </w:pPr>
      <w:r>
        <w:t>5.5.Tato dohoda byla vyhotovena ve 2 vyhotoveních s platností originálu, z nichž každá ze smluvních stran obdrží po jednom vyhotovení.</w:t>
      </w:r>
    </w:p>
    <w:tbl>
      <w:tblPr>
        <w:tblStyle w:val="TableGrid"/>
        <w:tblW w:w="8862" w:type="dxa"/>
        <w:tblInd w:w="0" w:type="dxa"/>
        <w:tblLook w:val="04A0" w:firstRow="1" w:lastRow="0" w:firstColumn="1" w:lastColumn="0" w:noHBand="0" w:noVBand="1"/>
      </w:tblPr>
      <w:tblGrid>
        <w:gridCol w:w="4956"/>
        <w:gridCol w:w="3906"/>
      </w:tblGrid>
      <w:tr w:rsidR="00494EB6">
        <w:trPr>
          <w:trHeight w:val="567"/>
        </w:trPr>
        <w:tc>
          <w:tcPr>
            <w:tcW w:w="4956" w:type="dxa"/>
            <w:tcBorders>
              <w:top w:val="nil"/>
              <w:left w:val="nil"/>
              <w:bottom w:val="nil"/>
              <w:right w:val="nil"/>
            </w:tcBorders>
          </w:tcPr>
          <w:p w:rsidR="00494EB6" w:rsidRDefault="00D07BDC">
            <w:pPr>
              <w:spacing w:after="0" w:line="259" w:lineRule="auto"/>
              <w:ind w:left="0" w:firstLine="0"/>
              <w:jc w:val="left"/>
            </w:pPr>
            <w:r>
              <w:t>V _________dne ____________</w:t>
            </w:r>
          </w:p>
        </w:tc>
        <w:tc>
          <w:tcPr>
            <w:tcW w:w="3906" w:type="dxa"/>
            <w:tcBorders>
              <w:top w:val="nil"/>
              <w:left w:val="nil"/>
              <w:bottom w:val="nil"/>
              <w:right w:val="nil"/>
            </w:tcBorders>
          </w:tcPr>
          <w:p w:rsidR="00494EB6" w:rsidRDefault="00D07BDC">
            <w:pPr>
              <w:spacing w:after="0" w:line="259" w:lineRule="auto"/>
              <w:ind w:left="0" w:firstLine="0"/>
            </w:pPr>
            <w:r>
              <w:t>V Karlových Varech dne ____________</w:t>
            </w:r>
          </w:p>
        </w:tc>
      </w:tr>
      <w:tr w:rsidR="00494EB6">
        <w:trPr>
          <w:trHeight w:val="687"/>
        </w:trPr>
        <w:tc>
          <w:tcPr>
            <w:tcW w:w="4956" w:type="dxa"/>
            <w:tcBorders>
              <w:top w:val="nil"/>
              <w:left w:val="nil"/>
              <w:bottom w:val="nil"/>
              <w:right w:val="nil"/>
            </w:tcBorders>
            <w:vAlign w:val="bottom"/>
          </w:tcPr>
          <w:p w:rsidR="00494EB6" w:rsidRDefault="00D07BDC">
            <w:pPr>
              <w:spacing w:after="0" w:line="259" w:lineRule="auto"/>
              <w:ind w:left="0" w:firstLine="0"/>
              <w:jc w:val="left"/>
            </w:pPr>
            <w:r>
              <w:t>____________________________</w:t>
            </w:r>
          </w:p>
        </w:tc>
        <w:tc>
          <w:tcPr>
            <w:tcW w:w="3906" w:type="dxa"/>
            <w:tcBorders>
              <w:top w:val="nil"/>
              <w:left w:val="nil"/>
              <w:bottom w:val="nil"/>
              <w:right w:val="nil"/>
            </w:tcBorders>
            <w:vAlign w:val="bottom"/>
          </w:tcPr>
          <w:p w:rsidR="00494EB6" w:rsidRDefault="00D07BDC">
            <w:pPr>
              <w:spacing w:after="0" w:line="259" w:lineRule="auto"/>
              <w:ind w:left="0" w:firstLine="0"/>
              <w:jc w:val="left"/>
            </w:pPr>
            <w:r>
              <w:t>_____________________________</w:t>
            </w:r>
          </w:p>
        </w:tc>
      </w:tr>
      <w:tr w:rsidR="00494EB6">
        <w:trPr>
          <w:trHeight w:val="458"/>
        </w:trPr>
        <w:tc>
          <w:tcPr>
            <w:tcW w:w="4956" w:type="dxa"/>
            <w:tcBorders>
              <w:top w:val="nil"/>
              <w:left w:val="nil"/>
              <w:bottom w:val="nil"/>
              <w:right w:val="nil"/>
            </w:tcBorders>
            <w:vAlign w:val="center"/>
          </w:tcPr>
          <w:p w:rsidR="00494EB6" w:rsidRDefault="00D07BDC">
            <w:pPr>
              <w:tabs>
                <w:tab w:val="center" w:pos="1416"/>
              </w:tabs>
              <w:spacing w:after="0" w:line="259" w:lineRule="auto"/>
              <w:ind w:left="0" w:firstLine="0"/>
              <w:jc w:val="left"/>
            </w:pPr>
            <w:r w:rsidRPr="00D07BDC">
              <w:rPr>
                <w:highlight w:val="lightGray"/>
              </w:rPr>
              <w:t>xxxxxxxx</w:t>
            </w:r>
            <w:r>
              <w:tab/>
              <w:t xml:space="preserve"> </w:t>
            </w:r>
          </w:p>
        </w:tc>
        <w:tc>
          <w:tcPr>
            <w:tcW w:w="3906" w:type="dxa"/>
            <w:tcBorders>
              <w:top w:val="nil"/>
              <w:left w:val="nil"/>
              <w:bottom w:val="nil"/>
              <w:right w:val="nil"/>
            </w:tcBorders>
            <w:vAlign w:val="center"/>
          </w:tcPr>
          <w:p w:rsidR="00494EB6" w:rsidRDefault="00D07BDC">
            <w:pPr>
              <w:spacing w:after="0" w:line="259" w:lineRule="auto"/>
              <w:ind w:left="0" w:firstLine="0"/>
              <w:jc w:val="left"/>
            </w:pPr>
            <w:r>
              <w:t>PaedDr.</w:t>
            </w:r>
            <w:r w:rsidR="00EF5DA2">
              <w:t xml:space="preserve"> Vratislav Emler</w:t>
            </w:r>
          </w:p>
        </w:tc>
      </w:tr>
      <w:tr w:rsidR="00494EB6">
        <w:trPr>
          <w:trHeight w:val="338"/>
        </w:trPr>
        <w:tc>
          <w:tcPr>
            <w:tcW w:w="4956" w:type="dxa"/>
            <w:tcBorders>
              <w:top w:val="nil"/>
              <w:left w:val="nil"/>
              <w:bottom w:val="nil"/>
              <w:right w:val="nil"/>
            </w:tcBorders>
            <w:vAlign w:val="bottom"/>
          </w:tcPr>
          <w:p w:rsidR="00494EB6" w:rsidRDefault="005C21BF">
            <w:pPr>
              <w:spacing w:after="0" w:line="259" w:lineRule="auto"/>
              <w:ind w:left="0" w:firstLine="0"/>
              <w:jc w:val="left"/>
            </w:pPr>
            <w:r>
              <w:rPr>
                <w:highlight w:val="lightGray"/>
              </w:rPr>
              <w:t>x</w:t>
            </w:r>
            <w:bookmarkStart w:id="0" w:name="_GoBack"/>
            <w:bookmarkEnd w:id="0"/>
            <w:r w:rsidR="00D07BDC" w:rsidRPr="00D07BDC">
              <w:rPr>
                <w:highlight w:val="lightGray"/>
              </w:rPr>
              <w:t>xxxxxxx</w:t>
            </w:r>
          </w:p>
        </w:tc>
        <w:tc>
          <w:tcPr>
            <w:tcW w:w="3906" w:type="dxa"/>
            <w:tcBorders>
              <w:top w:val="nil"/>
              <w:left w:val="nil"/>
              <w:bottom w:val="nil"/>
              <w:right w:val="nil"/>
            </w:tcBorders>
            <w:vAlign w:val="bottom"/>
          </w:tcPr>
          <w:p w:rsidR="00494EB6" w:rsidRDefault="00EF5DA2">
            <w:pPr>
              <w:spacing w:after="0" w:line="259" w:lineRule="auto"/>
              <w:ind w:left="0" w:firstLine="0"/>
            </w:pPr>
            <w:r>
              <w:t>ř</w:t>
            </w:r>
            <w:r w:rsidR="00D07BDC">
              <w:t>editel</w:t>
            </w:r>
            <w:r>
              <w:t xml:space="preserve"> </w:t>
            </w:r>
            <w:r w:rsidR="00D07BDC">
              <w:t>Krajsk</w:t>
            </w:r>
            <w:r>
              <w:t>é</w:t>
            </w:r>
            <w:r w:rsidR="00D07BDC">
              <w:t xml:space="preserve"> knihovn</w:t>
            </w:r>
            <w:r>
              <w:t>y</w:t>
            </w:r>
            <w:r w:rsidR="00D07BDC">
              <w:t xml:space="preserve"> Karlovy Vary</w:t>
            </w:r>
          </w:p>
        </w:tc>
      </w:tr>
    </w:tbl>
    <w:p w:rsidR="004F3EFB" w:rsidRDefault="004F3EFB"/>
    <w:sectPr w:rsidR="004F3EFB">
      <w:footerReference w:type="default" r:id="rId7"/>
      <w:pgSz w:w="11906" w:h="16838"/>
      <w:pgMar w:top="1498" w:right="1440" w:bottom="1462"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519B" w:rsidRDefault="00F5519B" w:rsidP="00F5519B">
      <w:pPr>
        <w:spacing w:after="0" w:line="240" w:lineRule="auto"/>
      </w:pPr>
      <w:r>
        <w:separator/>
      </w:r>
    </w:p>
  </w:endnote>
  <w:endnote w:type="continuationSeparator" w:id="0">
    <w:p w:rsidR="00F5519B" w:rsidRDefault="00F5519B" w:rsidP="00F55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519B" w:rsidRDefault="00F5519B">
    <w:pPr>
      <w:pStyle w:val="Zpat"/>
    </w:pPr>
    <w:r>
      <w:rPr>
        <w:noProof/>
      </w:rPr>
      <w:drawing>
        <wp:inline distT="0" distB="0" distL="0" distR="0">
          <wp:extent cx="5731510" cy="577850"/>
          <wp:effectExtent l="0" t="0" r="254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a NPO_EU.jpg"/>
                  <pic:cNvPicPr/>
                </pic:nvPicPr>
                <pic:blipFill>
                  <a:blip r:embed="rId1">
                    <a:extLst>
                      <a:ext uri="{28A0092B-C50C-407E-A947-70E740481C1C}">
                        <a14:useLocalDpi xmlns:a14="http://schemas.microsoft.com/office/drawing/2010/main" val="0"/>
                      </a:ext>
                    </a:extLst>
                  </a:blip>
                  <a:stretch>
                    <a:fillRect/>
                  </a:stretch>
                </pic:blipFill>
                <pic:spPr>
                  <a:xfrm>
                    <a:off x="0" y="0"/>
                    <a:ext cx="5731510" cy="5778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519B" w:rsidRDefault="00F5519B" w:rsidP="00F5519B">
      <w:pPr>
        <w:spacing w:after="0" w:line="240" w:lineRule="auto"/>
      </w:pPr>
      <w:r>
        <w:separator/>
      </w:r>
    </w:p>
  </w:footnote>
  <w:footnote w:type="continuationSeparator" w:id="0">
    <w:p w:rsidR="00F5519B" w:rsidRDefault="00F5519B" w:rsidP="00F551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CB71B0"/>
    <w:multiLevelType w:val="hybridMultilevel"/>
    <w:tmpl w:val="98D8098A"/>
    <w:lvl w:ilvl="0" w:tplc="650ACE4C">
      <w:start w:val="3"/>
      <w:numFmt w:val="decimal"/>
      <w:lvlText w:val="%1."/>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009F9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90E2BC0">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63EAF4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E3E519C">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6E82D0C">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C0E7BA2">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1A5896">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FE64A62">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EB6"/>
    <w:rsid w:val="00070BE3"/>
    <w:rsid w:val="001B4DB2"/>
    <w:rsid w:val="002234C4"/>
    <w:rsid w:val="00244519"/>
    <w:rsid w:val="00494EB6"/>
    <w:rsid w:val="004F3EFB"/>
    <w:rsid w:val="005C21BF"/>
    <w:rsid w:val="00976823"/>
    <w:rsid w:val="00B10F83"/>
    <w:rsid w:val="00D07BDC"/>
    <w:rsid w:val="00EC6634"/>
    <w:rsid w:val="00EF5DA2"/>
    <w:rsid w:val="00F551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0C58C8"/>
  <w15:docId w15:val="{35EC9842-56DF-43D9-8315-7F31CD849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168" w:line="249" w:lineRule="auto"/>
      <w:ind w:left="370" w:hanging="370"/>
      <w:jc w:val="both"/>
    </w:pPr>
    <w:rPr>
      <w:rFonts w:ascii="Times New Roman" w:eastAsia="Times New Roman" w:hAnsi="Times New Roman" w:cs="Times New Roman"/>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F5519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5519B"/>
    <w:rPr>
      <w:rFonts w:ascii="Times New Roman" w:eastAsia="Times New Roman" w:hAnsi="Times New Roman" w:cs="Times New Roman"/>
      <w:color w:val="000000"/>
      <w:sz w:val="24"/>
    </w:rPr>
  </w:style>
  <w:style w:type="paragraph" w:styleId="Zpat">
    <w:name w:val="footer"/>
    <w:basedOn w:val="Normln"/>
    <w:link w:val="ZpatChar"/>
    <w:uiPriority w:val="99"/>
    <w:unhideWhenUsed/>
    <w:rsid w:val="00F5519B"/>
    <w:pPr>
      <w:tabs>
        <w:tab w:val="center" w:pos="4536"/>
        <w:tab w:val="right" w:pos="9072"/>
      </w:tabs>
      <w:spacing w:after="0" w:line="240" w:lineRule="auto"/>
    </w:pPr>
  </w:style>
  <w:style w:type="character" w:customStyle="1" w:styleId="ZpatChar">
    <w:name w:val="Zápatí Char"/>
    <w:basedOn w:val="Standardnpsmoodstavce"/>
    <w:link w:val="Zpat"/>
    <w:uiPriority w:val="99"/>
    <w:rsid w:val="00F5519B"/>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945</Words>
  <Characters>5580</Characters>
  <Application>Microsoft Office Word</Application>
  <DocSecurity>0</DocSecurity>
  <Lines>46</Lines>
  <Paragraphs>13</Paragraphs>
  <ScaleCrop>false</ScaleCrop>
  <Company/>
  <LinksUpToDate>false</LinksUpToDate>
  <CharactersWithSpaces>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Singer Andrea</dc:creator>
  <cp:keywords/>
  <cp:lastModifiedBy>Singer Andrea</cp:lastModifiedBy>
  <cp:revision>18</cp:revision>
  <dcterms:created xsi:type="dcterms:W3CDTF">2025-02-27T11:03:00Z</dcterms:created>
  <dcterms:modified xsi:type="dcterms:W3CDTF">2025-03-10T14:34:00Z</dcterms:modified>
</cp:coreProperties>
</file>