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DOKUMENTACE PRO</w:t>
      </w:r>
      <w:r>
        <w:rPr>
          <w:b/>
          <w:sz w:val="26"/>
          <w:szCs w:val="26"/>
        </w:rPr>
        <w:t xml:space="preserve"> PROVÁDĚNÍ STAVBY</w:t>
      </w:r>
      <w:r>
        <w:rPr>
          <w:b/>
          <w:sz w:val="26"/>
          <w:szCs w:val="26"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Technická zpráva ZOV</w:t>
      </w:r>
      <w:r>
        <w:rPr>
          <w:b/>
          <w:sz w:val="28"/>
          <w:szCs w:val="28"/>
          <w:u w:val="single"/>
        </w:rPr>
      </w:r>
    </w:p>
    <w:p>
      <w:pPr>
        <w:pBdr/>
        <w:spacing/>
        <w:ind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jc w:val="both"/>
        <w:rPr>
          <w:b/>
        </w:rPr>
      </w:pPr>
      <w:r>
        <w:rPr>
          <w:b/>
        </w:rPr>
        <w:t xml:space="preserve">Obsah:</w:t>
      </w:r>
      <w:r>
        <w:rPr>
          <w:b/>
        </w:rPr>
      </w:r>
    </w:p>
    <w:p>
      <w:pPr>
        <w:pBdr/>
        <w:spacing/>
        <w:ind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2" w:anchor="_Toc503946432" w:history="1">
        <w:r>
          <w:rPr>
            <w:rStyle w:val="812"/>
          </w:rPr>
          <w:t xml:space="preserve">a)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Požadavky na zpracování dodavatelské dokumentace stavby,</w:t>
        </w:r>
        <w:r>
          <w:tab/>
          <w:t xml:space="preserve">1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3" w:anchor="_Toc503946433" w:history="1">
        <w:r>
          <w:rPr>
            <w:rStyle w:val="812"/>
          </w:rPr>
          <w:t xml:space="preserve">b)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požadavky na zpracování plánu bezpečnosti a ochrany zdraví při práci na staveništi,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4" w:anchor="_Toc503946434" w:history="1">
        <w:r>
          <w:rPr>
            <w:rStyle w:val="812"/>
          </w:rPr>
          <w:t xml:space="preserve">c)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podmínky realizace prací, budou-li prováděny v ochranných nebo bezpečnostních pásmech jiných staveb,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5" w:anchor="_Toc503946435" w:history="1">
        <w:r>
          <w:rPr>
            <w:rStyle w:val="812"/>
          </w:rPr>
          <w:t xml:space="preserve">d)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zvláštní podmínky a požadavky na organizaci staveniště a provádění prací na něm, vyplývající zejména z druhu stavebních prací, vlastností staveniště nebo požadavků stavebníka na provádění stavby apod.,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6" w:anchor="_Toc503946436" w:history="1">
        <w:r>
          <w:rPr>
            <w:rStyle w:val="812"/>
          </w:rPr>
          <w:t xml:space="preserve">e)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ochrana životního prostředí při výstavbě.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0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7" w:anchor="_Toc503946437" w:history="1">
        <w:r>
          <w:rPr>
            <w:rStyle w:val="812"/>
          </w:rPr>
          <w:t xml:space="preserve">B.1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 Popis území stavby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8" w:anchor="_Toc503946438" w:history="1">
        <w:r>
          <w:rPr>
            <w:rStyle w:val="812"/>
          </w:rPr>
          <w:t xml:space="preserve">a)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charakteristika území a stavebního pozemku, zastavěné území a nezastavěné území, soulad navrhované stavby s charakterem území, dosavadní využití a zastavěnost území,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39" w:anchor="_Toc503946439" w:history="1">
        <w:r>
          <w:rPr>
            <w:rStyle w:val="812"/>
          </w:rPr>
          <w:t xml:space="preserve">b)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údaje o souladu s územním rozhodnutím nebo regulačním plánem nebo veřejnoprávní smlouvou územní rozhodnutí nahrazující anebo územním souhlasem,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0" w:anchor="_Toc503946440" w:history="1">
        <w:r>
          <w:rPr>
            <w:rStyle w:val="812"/>
          </w:rPr>
          <w:t xml:space="preserve">c)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údaje o souladu s územně plánovací dokumentací, v případě stavebních úprav podmiňujících změnu v užívání stavby,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1" w:anchor="_Toc503946441" w:history="1">
        <w:r>
          <w:rPr>
            <w:rStyle w:val="812"/>
          </w:rPr>
          <w:t xml:space="preserve">d)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informace o vydaných rozhodnutích o povolení vyjímky z obecných požadavků na využívání území,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2" w:anchor="_Toc503946442" w:history="1">
        <w:r>
          <w:rPr>
            <w:rStyle w:val="812"/>
          </w:rPr>
          <w:t xml:space="preserve">e)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informace o tom, zda a v jakých částech dokumentace jsou zohledněny podmínky závazných stanovisek dotčených orgánů,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3" w:anchor="_Toc503946443" w:history="1">
        <w:r>
          <w:rPr>
            <w:rStyle w:val="812"/>
          </w:rPr>
          <w:t xml:space="preserve">f)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výčet a závěry provedených průzkumů a rozborů – geologický průzkum, hydrogeologický průzkum, stavebně historický průzkum apod.,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4" w:anchor="_Toc503946444" w:history="1">
        <w:r>
          <w:rPr>
            <w:rStyle w:val="812"/>
          </w:rPr>
          <w:t xml:space="preserve">g)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ochrana území podle jiných právních předpisů </w:t>
        </w:r>
        <w:r>
          <w:rPr>
            <w:rStyle w:val="812"/>
            <w:vertAlign w:val="superscript"/>
          </w:rPr>
          <w:t xml:space="preserve">1)</w:t>
        </w:r>
        <w:r>
          <w:rPr>
            <w:rStyle w:val="812"/>
          </w:rPr>
          <w:t xml:space="preserve">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5" w:anchor="_Toc503946445" w:history="1">
        <w:r>
          <w:rPr>
            <w:rStyle w:val="812"/>
          </w:rPr>
          <w:t xml:space="preserve">h)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poloha vzhledem k záplavovému území, poddolovanému území apod.,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6" w:anchor="_Toc503946446" w:history="1">
        <w:r>
          <w:rPr>
            <w:rStyle w:val="812"/>
          </w:rPr>
          <w:t xml:space="preserve">i)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vliv stavby na okolní stavby a pozemky, ochrana okolí, vliv stavby na odtokové poměry v území,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7" w:anchor="_Toc503946447" w:history="1">
        <w:r>
          <w:rPr>
            <w:rStyle w:val="812"/>
          </w:rPr>
          <w:t xml:space="preserve">j)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požadavky na asanace, demolice, kácení dřevin,</w:t>
        </w:r>
        <w:r>
          <w:tab/>
          <w:t xml:space="preserve">2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8" w:anchor="_Toc503946448" w:history="1">
        <w:r>
          <w:rPr>
            <w:rStyle w:val="812"/>
          </w:rPr>
          <w:t xml:space="preserve">k)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požadavky na maximální dočasné a trvalé zábory zemědělského půdního fondu nebo pozemků určených k plnění funkce lesa,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49" w:anchor="_Toc503946449" w:history="1">
        <w:r>
          <w:rPr>
            <w:rStyle w:val="812"/>
          </w:rPr>
          <w:t xml:space="preserve">l)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územně technické podmínky – zejména možnost napojení na stávající dopravní a technickou infrastrukturu, možnost bezbariérového přístupu k navrhované stavbě,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0" w:anchor="_Toc503946450" w:history="1">
        <w:r>
          <w:rPr>
            <w:rStyle w:val="812"/>
          </w:rPr>
          <w:t xml:space="preserve">m)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věcné a časové vazby stavby, podmiňující, vyvolaní, související investice,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1" w:anchor="_Toc503946451" w:history="1">
        <w:r>
          <w:rPr>
            <w:rStyle w:val="812"/>
          </w:rPr>
          <w:t xml:space="preserve">n)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seznam pozemků podle katastru nemovitostí, na kterých se stavba provádí,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2" w:anchor="_Toc503946452" w:history="1">
        <w:r>
          <w:rPr>
            <w:rStyle w:val="812"/>
          </w:rPr>
          <w:t xml:space="preserve">o)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seznam pozemků podle katastru nemovitostí, na kterých vznikne ochranné nebo bezpečnostní pásmo.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0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3" w:anchor="_Toc503946453" w:history="1">
        <w:r>
          <w:rPr>
            <w:rStyle w:val="812"/>
          </w:rPr>
          <w:t xml:space="preserve">B.2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 Celkový popis stavby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4" w:anchor="_Toc503946454" w:history="1">
        <w:r>
          <w:rPr>
            <w:rStyle w:val="812"/>
          </w:rPr>
          <w:t xml:space="preserve">a)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nová stavba nebo změna dokončené stavby; u změny stavby údaje o jejich současném stavu, závěry stavebně technického, případně stavebně historického průzkumu a výsledky statického posouzení nosných konstrukcí,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5" w:anchor="_Toc503946455" w:history="1">
        <w:r>
          <w:rPr>
            <w:rStyle w:val="812"/>
          </w:rPr>
          <w:t xml:space="preserve">b)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účel užívání stavby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6" w:anchor="_Toc503946456" w:history="1">
        <w:r>
          <w:rPr>
            <w:rStyle w:val="812"/>
          </w:rPr>
          <w:t xml:space="preserve">c)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trvalá nebo dočasná stavba,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7" w:anchor="_Toc503946457" w:history="1">
        <w:r>
          <w:rPr>
            <w:rStyle w:val="812"/>
          </w:rPr>
          <w:t xml:space="preserve">d)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informace o vydaných rozhodnutích o povolení vyjímky z technických požadavků na stavby a technických požadavků zabezpečujících bezbariérové užívání stavby,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8" w:anchor="_Toc503946458" w:history="1">
        <w:r>
          <w:rPr>
            <w:rStyle w:val="812"/>
          </w:rPr>
          <w:t xml:space="preserve">e)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informace o tom, zda a v jakých částech dokumentace jsou zohledněny podmínky závazných stanovisek dotčených orgánů,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59" w:anchor="_Toc503946459" w:history="1">
        <w:r>
          <w:rPr>
            <w:rStyle w:val="812"/>
          </w:rPr>
          <w:t xml:space="preserve">f)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ochrana stavby podle jiných právních předpisů</w:t>
        </w:r>
        <w:r>
          <w:rPr>
            <w:rStyle w:val="812"/>
            <w:vertAlign w:val="superscript"/>
          </w:rPr>
          <w:t xml:space="preserve">1)</w:t>
        </w:r>
        <w:r>
          <w:rPr>
            <w:rStyle w:val="812"/>
          </w:rPr>
          <w:t xml:space="preserve">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60" w:anchor="_Toc503946460" w:history="1">
        <w:r>
          <w:rPr>
            <w:rStyle w:val="812"/>
          </w:rPr>
          <w:t xml:space="preserve">g)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navrhované parametry stavby – zastavěná plocha, obestavěný prostor, užitná plocha, počet funkčních jednotek a jejich velikosti apod.,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61" w:anchor="_Toc503946461" w:history="1">
        <w:r>
          <w:rPr>
            <w:rStyle w:val="812"/>
          </w:rPr>
          <w:t xml:space="preserve">h)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základní bilance stavby – potřeby a spotřeby médií a hmot, hospodaření s dešťovou vodou, celkové produkované množství a druhy odpadů a emisí, třída energetické náročnosti budov apod.,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62" w:anchor="_Toc503946462" w:history="1">
        <w:r>
          <w:rPr>
            <w:rStyle w:val="812"/>
          </w:rPr>
          <w:t xml:space="preserve">i)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základní předpoklady výstavby – časové údaje o realizaci stavby, členění na etapy,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Style w:val="813"/>
        <w:pBdr/>
        <w:spacing/>
        <w:ind/>
        <w:rPr>
          <w:rFonts w:asciiTheme="minorHAnsi" w:hAnsiTheme="minorHAnsi" w:eastAsiaTheme="minorEastAsia" w:cstheme="minorBidi"/>
          <w:sz w:val="22"/>
          <w:lang w:eastAsia="cs-CZ"/>
        </w:rPr>
      </w:pPr>
      <w:r/>
      <w:hyperlink w:tooltip="#_Toc503946463" w:anchor="_Toc503946463" w:history="1">
        <w:r>
          <w:rPr>
            <w:rStyle w:val="812"/>
          </w:rPr>
          <w:t xml:space="preserve">j)</w:t>
        </w:r>
        <w:r>
          <w:rPr>
            <w:rFonts w:asciiTheme="minorHAnsi" w:hAnsiTheme="minorHAnsi" w:eastAsiaTheme="minorEastAsia" w:cstheme="minorBidi"/>
            <w:sz w:val="22"/>
            <w:lang w:eastAsia="cs-CZ"/>
          </w:rPr>
          <w:tab/>
        </w:r>
        <w:r>
          <w:rPr>
            <w:rStyle w:val="812"/>
          </w:rPr>
          <w:t xml:space="preserve">orientační náklady stavby.</w:t>
        </w:r>
        <w:r>
          <w:tab/>
          <w:t xml:space="preserve">3</w:t>
        </w:r>
      </w:hyperlink>
      <w:r/>
      <w:r>
        <w:rPr>
          <w:rFonts w:asciiTheme="minorHAnsi" w:hAnsiTheme="minorHAnsi" w:eastAsiaTheme="minorEastAsia" w:cstheme="minorBidi"/>
          <w:sz w:val="22"/>
          <w:lang w:eastAsia="cs-CZ"/>
        </w:rPr>
      </w:r>
    </w:p>
    <w:p>
      <w:pPr>
        <w:pBdr/>
        <w:spacing/>
        <w:ind/>
        <w:rPr/>
      </w:pPr>
      <w:r/>
      <w:r/>
    </w:p>
    <w:p>
      <w:pPr>
        <w:pBdr>
          <w:top w:val="single" w:color="000000" w:sz="4" w:space="0"/>
        </w:pBdr>
        <w:spacing/>
        <w:ind/>
        <w:rPr/>
      </w:pPr>
      <w:r/>
      <w:r/>
    </w:p>
    <w:p>
      <w:pPr>
        <w:pBdr>
          <w:top w:val="single" w:color="000000" w:sz="4" w:space="0"/>
        </w:pBdr>
        <w:spacing/>
        <w:ind/>
        <w:rPr/>
      </w:pPr>
      <w:r/>
      <w:r/>
    </w:p>
    <w:p>
      <w:pPr>
        <w:pBdr>
          <w:top w:val="single" w:color="000000" w:sz="4" w:space="1"/>
        </w:pBdr>
        <w:spacing/>
        <w:ind/>
        <w:rPr/>
      </w:pPr>
      <w:r/>
      <w:r/>
    </w:p>
    <w:p>
      <w:pPr>
        <w:pBdr/>
        <w:spacing/>
        <w:ind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800"/>
        <w:numPr>
          <w:ilvl w:val="0"/>
          <w:numId w:val="65"/>
        </w:numPr>
        <w:pBdr/>
        <w:spacing/>
        <w:ind/>
        <w:rPr>
          <w:rFonts w:ascii="Arial" w:hAnsi="Arial" w:cs="Arial"/>
          <w:color w:val="auto"/>
          <w:sz w:val="24"/>
          <w:szCs w:val="24"/>
          <w:u w:val="single"/>
        </w:rPr>
      </w:pPr>
      <w:r>
        <w:rPr>
          <w:u w:val="single"/>
        </w:rPr>
      </w:r>
      <w:bookmarkStart w:id="0" w:name="_Toc274900895"/>
      <w:r>
        <w:rPr>
          <w:rFonts w:ascii="Arial" w:hAnsi="Arial" w:cs="Arial"/>
          <w:color w:val="auto"/>
          <w:sz w:val="24"/>
          <w:szCs w:val="24"/>
          <w:u w:val="single"/>
        </w:rPr>
        <w:t xml:space="preserve">Ú</w:t>
      </w:r>
      <w:r>
        <w:rPr>
          <w:rFonts w:ascii="Arial" w:hAnsi="Arial" w:cs="Arial"/>
          <w:color w:val="auto"/>
          <w:sz w:val="24"/>
          <w:szCs w:val="24"/>
          <w:u w:val="single"/>
        </w:rPr>
        <w:t xml:space="preserve">vod</w:t>
      </w:r>
      <w:bookmarkEnd w:id="0"/>
      <w:r>
        <w:rPr>
          <w:rFonts w:ascii="Arial" w:hAnsi="Arial" w:cs="Arial"/>
          <w:color w:val="auto"/>
          <w:sz w:val="24"/>
          <w:szCs w:val="24"/>
          <w:u w:val="single"/>
        </w:rPr>
      </w:r>
      <w:r>
        <w:rPr>
          <w:rFonts w:ascii="Arial" w:hAnsi="Arial" w:cs="Arial"/>
          <w:color w:val="auto"/>
          <w:sz w:val="24"/>
          <w:szCs w:val="24"/>
          <w:u w:val="single"/>
        </w:rPr>
      </w:r>
    </w:p>
    <w:p>
      <w:pPr>
        <w:pStyle w:val="802"/>
        <w:numPr>
          <w:ilvl w:val="0"/>
          <w:numId w:val="0"/>
        </w:numPr>
        <w:pBdr/>
        <w:spacing/>
        <w:ind w:firstLine="0" w:left="1146"/>
        <w:rPr>
          <w:b/>
          <w:bCs/>
          <w14:ligatures w14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02"/>
        <w:pBdr/>
        <w:spacing/>
        <w:ind/>
        <w:rPr>
          <w:b/>
          <w:bCs/>
          <w:sz w:val="22"/>
          <w:szCs w:val="22"/>
          <w14:ligatures w14:val="none"/>
        </w:rPr>
      </w:pPr>
      <w:r>
        <w:rPr>
          <w:b/>
          <w:bCs/>
        </w:rPr>
      </w:r>
      <w:bookmarkStart w:id="1" w:name="_Toc503943855"/>
      <w:r>
        <w:rPr>
          <w:b/>
          <w:bCs/>
        </w:rPr>
      </w:r>
      <w:bookmarkStart w:id="1" w:name="_Toc274900896"/>
      <w:r>
        <w:rPr>
          <w:b/>
          <w:bCs/>
        </w:rPr>
        <w:t xml:space="preserve">Identifikační údaje stavby</w:t>
      </w:r>
      <w:bookmarkEnd w:id="1"/>
      <w:r>
        <w:rPr>
          <w:b/>
          <w:bCs/>
        </w:rPr>
      </w:r>
      <w:bookmarkEnd w:id="1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highlight w:val="none"/>
        </w:rPr>
      </w:r>
      <w:r>
        <w:rPr>
          <w:rFonts w:ascii="Arial" w:hAnsi="Arial" w:cs="Arial"/>
          <w:color w:val="ff0000"/>
          <w:highlight w:val="none"/>
        </w:rPr>
      </w:r>
    </w:p>
    <w:p>
      <w:pPr>
        <w:pBdr/>
        <w:spacing/>
        <w:ind/>
        <w:rPr/>
      </w:pPr>
      <w:r>
        <w:rPr>
          <w:rFonts w:ascii="Arial" w:hAnsi="Arial" w:cs="Arial"/>
          <w:color w:val="000000" w:themeColor="text1"/>
          <w:u w:val="single"/>
        </w:rPr>
        <w:t xml:space="preserve">Označení stavby:</w:t>
      </w:r>
      <w:r>
        <w:rPr>
          <w:rFonts w:ascii="Arial" w:hAnsi="Arial" w:cs="Arial"/>
          <w:color w:val="ff0000"/>
        </w:rPr>
        <w:tab/>
      </w:r>
      <w:r>
        <w:t xml:space="preserve">Modernizace odborných učeben na obchodní akademii Karlovy Vary</w:t>
      </w:r>
      <w:r/>
      <w:r/>
    </w:p>
    <w:p>
      <w:pPr>
        <w:pBdr/>
        <w:spacing/>
        <w:ind/>
        <w:rPr>
          <w:color w:val="000000" w:themeColor="text1"/>
        </w:rPr>
      </w:pPr>
      <w:r>
        <w:rPr>
          <w:rFonts w:ascii="Arial" w:hAnsi="Arial" w:cs="Arial"/>
          <w:color w:val="000000" w:themeColor="text1"/>
          <w:u w:val="single"/>
        </w:rPr>
        <w:t xml:space="preserve">Místo stavby:</w:t>
      </w:r>
      <w:r>
        <w:rPr>
          <w:rFonts w:ascii="Arial" w:hAnsi="Arial" w:cs="Arial"/>
          <w:color w:val="000000" w:themeColor="text1"/>
        </w:rPr>
        <w:tab/>
      </w:r>
      <w:r>
        <w:rPr>
          <w:color w:val="000000" w:themeColor="text1"/>
        </w:rPr>
        <w:tab/>
        <w:t xml:space="preserve">ul. Bezručova 1312/17</w:t>
      </w:r>
      <w:r>
        <w:rPr>
          <w:color w:val="000000" w:themeColor="text1"/>
        </w:rPr>
        <w:t xml:space="preserve">, 360 01 Karlovy Vary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  <w:highlight w:val="none"/>
        </w:rPr>
      </w:r>
      <w:r>
        <w:rPr>
          <w:rFonts w:ascii="Arial" w:hAnsi="Arial" w:cs="Arial"/>
          <w:color w:val="ff0000"/>
          <w:highlight w:val="none"/>
        </w:rPr>
      </w:r>
    </w:p>
    <w:p>
      <w:pPr>
        <w:pBdr/>
        <w:spacing/>
        <w:ind/>
        <w:rPr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Katastrální území: </w:t>
      </w:r>
      <w:r>
        <w:rPr>
          <w:rFonts w:ascii="Arial" w:hAnsi="Arial" w:cs="Arial"/>
          <w:color w:val="000000" w:themeColor="text1"/>
        </w:rPr>
        <w:tab/>
        <w:tab/>
      </w:r>
      <w:r>
        <w:rPr>
          <w:color w:val="000000" w:themeColor="text1"/>
        </w:rPr>
        <w:t xml:space="preserve">Karlovy Vary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/>
        <w:rPr/>
      </w:pPr>
      <w:r>
        <w:rPr>
          <w:rFonts w:ascii="Arial" w:hAnsi="Arial" w:cs="Arial"/>
          <w:color w:val="000000" w:themeColor="text1"/>
        </w:rPr>
        <w:t xml:space="preserve">Parcelní číslo: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ff0000"/>
        </w:rPr>
        <w:tab/>
        <w:tab/>
      </w:r>
      <w:r>
        <w:t xml:space="preserve">par.č</w:t>
      </w:r>
      <w:r>
        <w:t xml:space="preserve">. 2739</w:t>
      </w:r>
      <w:r/>
      <w:r/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Druh pozemku: </w:t>
      </w:r>
      <w:r>
        <w:rPr>
          <w:rFonts w:ascii="Arial" w:hAnsi="Arial" w:cs="Arial"/>
          <w:color w:val="000000" w:themeColor="text1"/>
        </w:rPr>
        <w:tab/>
        <w:tab/>
        <w:t xml:space="preserve">zastavěná plocha a nádvoří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Budova na parcele:</w:t>
      </w:r>
      <w:r>
        <w:rPr>
          <w:rFonts w:ascii="Arial" w:hAnsi="Arial" w:cs="Arial"/>
          <w:color w:val="000000" w:themeColor="text1"/>
        </w:rPr>
        <w:tab/>
        <w:tab/>
        <w:t xml:space="preserve">č.p. 1312/17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Číslo LV: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ab/>
        <w:t xml:space="preserve">6392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  <w:highlight w:val="none"/>
        </w:rPr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Bdr/>
        <w:spacing/>
        <w:ind w:firstLine="0" w:left="0"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  <w:u w:val="single"/>
        </w:rPr>
        <w:t xml:space="preserve">Vlastnické právo</w:t>
      </w:r>
      <w:r>
        <w:rPr>
          <w:rFonts w:ascii="Arial" w:hAnsi="Arial" w:cs="Arial"/>
          <w:color w:val="000000" w:themeColor="text1"/>
          <w:u w:val="single"/>
        </w:rPr>
        <w:t xml:space="preserve">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Karlovarský kraj, Závodní 353/88, Dvory, 36006 Karlovy Vary</w:t>
      </w:r>
      <w:r>
        <w:rPr>
          <w:rFonts w:ascii="Arial" w:hAnsi="Arial" w:cs="Arial"/>
          <w:color w:val="000000" w:themeColor="text1"/>
          <w14:ligatures w14:val="none"/>
        </w:rPr>
      </w:r>
      <w:r>
        <w:rPr>
          <w:rFonts w:ascii="Arial" w:hAnsi="Arial" w:cs="Arial"/>
          <w:color w:val="000000" w:themeColor="text1"/>
          <w14:ligatures w14:val="none"/>
        </w:rPr>
      </w:r>
    </w:p>
    <w:p>
      <w:pPr>
        <w:pBdr/>
        <w:spacing/>
        <w:ind w:firstLine="0" w:left="0"/>
        <w:rPr>
          <w:rFonts w:ascii="Arial" w:hAnsi="Arial" w:cs="Arial"/>
          <w:color w:val="000000" w:themeColor="text1"/>
          <w:u w:val="single"/>
        </w:rPr>
      </w:pPr>
      <w:r>
        <w:rPr>
          <w:rFonts w:ascii="Arial" w:hAnsi="Arial" w:cs="Arial"/>
          <w:color w:val="000000" w:themeColor="text1"/>
          <w:highlight w:val="none"/>
          <w:u w:val="single"/>
        </w:rPr>
      </w:r>
      <w:r>
        <w:rPr>
          <w:rFonts w:ascii="Arial" w:hAnsi="Arial" w:cs="Arial"/>
          <w:color w:val="000000" w:themeColor="text1"/>
          <w:u w:val="single"/>
        </w:rPr>
      </w:r>
      <w:r>
        <w:rPr>
          <w:rFonts w:ascii="Arial" w:hAnsi="Arial" w:cs="Arial"/>
          <w:color w:val="000000" w:themeColor="text1"/>
          <w:u w:val="single"/>
        </w:rPr>
      </w:r>
    </w:p>
    <w:p>
      <w:pPr>
        <w:pBdr/>
        <w:spacing/>
        <w:ind w:firstLine="0" w:left="0"/>
        <w:rPr>
          <w:rFonts w:ascii="Arial" w:hAnsi="Arial" w:cs="Arial"/>
          <w:color w:val="000000" w:themeColor="text1"/>
          <w:highlight w:val="none"/>
          <w:u w:val="single"/>
        </w:rPr>
      </w:pPr>
      <w:r>
        <w:rPr>
          <w:rFonts w:ascii="Arial" w:hAnsi="Arial" w:cs="Arial"/>
          <w:color w:val="000000" w:themeColor="text1"/>
          <w:u w:val="single"/>
        </w:rPr>
      </w:r>
      <w:r>
        <w:rPr>
          <w:rFonts w:ascii="Arial" w:hAnsi="Arial" w:cs="Arial"/>
          <w:color w:val="000000" w:themeColor="text1"/>
          <w:u w:val="single"/>
        </w:rPr>
        <w:t xml:space="preserve">Hospodaření se svěřeným majetkem kraje</w:t>
      </w:r>
      <w:r>
        <w:rPr>
          <w:rFonts w:ascii="Arial" w:hAnsi="Arial" w:cs="Arial"/>
          <w:color w:val="000000" w:themeColor="text1"/>
          <w:u w:val="single"/>
        </w:rPr>
        <w:t xml:space="preserve"> :</w:t>
      </w:r>
      <w:r>
        <w:rPr>
          <w:rFonts w:ascii="Arial" w:hAnsi="Arial" w:cs="Arial"/>
          <w:color w:val="000000" w:themeColor="text1"/>
          <w:highlight w:val="none"/>
          <w:u w:val="single"/>
        </w:rPr>
      </w:r>
      <w:r>
        <w:rPr>
          <w:rFonts w:ascii="Arial" w:hAnsi="Arial" w:cs="Arial"/>
          <w:color w:val="000000" w:themeColor="text1"/>
          <w:highlight w:val="none"/>
          <w:u w:val="single"/>
        </w:rPr>
      </w:r>
    </w:p>
    <w:p>
      <w:pPr>
        <w:pBdr/>
        <w:spacing/>
        <w:ind w:firstLine="0" w:left="0"/>
        <w:rPr>
          <w:rFonts w:ascii="Arial" w:hAnsi="Arial" w:cs="Arial"/>
          <w:color w:val="000000" w:themeColor="text1"/>
          <w:highlight w:val="none"/>
        </w:rPr>
      </w:pPr>
      <w:r>
        <w:rPr>
          <w:rFonts w:ascii="Arial" w:hAnsi="Arial" w:cs="Arial"/>
          <w:color w:val="000000" w:themeColor="text1"/>
          <w:u w:val="single"/>
        </w:rPr>
      </w:r>
      <w:r>
        <w:rPr>
          <w:rFonts w:ascii="Arial" w:hAnsi="Arial" w:cs="Arial"/>
          <w:color w:val="000000" w:themeColor="text1"/>
        </w:rPr>
        <w:t xml:space="preserve">Obchodní akademie, vyšší odborná škola cestovního ruchu a jazyková škola s právem státní jazykové zkoušky Karlovy Vary, příspěvková organizace, Bezručova 1312/17, 36001 Karlovy Vary</w:t>
      </w:r>
      <w:r>
        <w:rPr>
          <w:rFonts w:ascii="Arial" w:hAnsi="Arial" w:cs="Arial"/>
          <w:color w:val="000000" w:themeColor="text1"/>
          <w:highlight w:val="none"/>
        </w:rPr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cs="Arial"/>
          <w:color w:val="000000" w:themeColor="text1"/>
          <w:highlight w:val="none"/>
          <w14:ligatures w14:val="none"/>
        </w:rPr>
      </w:pPr>
      <w:r>
        <w:rPr>
          <w:rFonts w:ascii="Arial" w:hAnsi="Arial" w:cs="Arial"/>
          <w:color w:val="000000" w:themeColor="text1"/>
          <w:highlight w:val="none"/>
        </w:rPr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cs="Arial"/>
          <w:color w:val="000000" w:themeColor="text1"/>
          <w:highlight w:val="none"/>
          <w14:ligatures w14:val="none"/>
        </w:rPr>
      </w:pPr>
      <w:r>
        <w:rPr>
          <w:rFonts w:ascii="Arial" w:hAnsi="Arial" w:cs="Arial"/>
          <w:color w:val="000000" w:themeColor="text1"/>
        </w:rPr>
        <w:t xml:space="preserve">Způsob ochrany nemovitosti:    </w:t>
      </w:r>
      <w:r>
        <w:rPr>
          <w:rFonts w:ascii="Arial" w:hAnsi="Arial" w:cs="Arial"/>
          <w:color w:val="000000" w:themeColor="text1"/>
        </w:rPr>
        <w:t xml:space="preserve">pam. zóna - budova, po</w:t>
      </w:r>
      <w:r>
        <w:rPr>
          <w:rFonts w:ascii="Arial" w:hAnsi="Arial" w:cs="Arial"/>
          <w:color w:val="000000" w:themeColor="text1"/>
        </w:rPr>
        <w:t xml:space="preserve">zemek v památkové zóně</w:t>
      </w:r>
      <w:r>
        <w:rPr>
          <w:rFonts w:ascii="Arial" w:hAnsi="Arial" w:cs="Arial"/>
          <w:color w:val="000000" w:themeColor="text1"/>
          <w14:ligatures w14:val="none"/>
        </w:rPr>
      </w:r>
    </w:p>
    <w:p>
      <w:pPr>
        <w:pBdr/>
        <w:spacing/>
        <w:ind w:firstLine="0" w:left="2832"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</w:rPr>
        <w:t xml:space="preserve">    pam. rezervace - budova, pozemek v památkové rezervaci</w:t>
      </w:r>
      <w:r>
        <w:rPr>
          <w:rFonts w:ascii="Arial" w:hAnsi="Arial" w:cs="Arial"/>
          <w:color w:val="000000" w:themeColor="text1"/>
          <w14:ligatures w14:val="none"/>
        </w:rPr>
      </w:r>
      <w:r/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Omezení vlastnického práva:   nejsou evidována žádná omezení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 w:firstLine="0" w:left="0"/>
        <w:rPr>
          <w:rFonts w:ascii="Arial" w:hAnsi="Arial" w:cs="Arial"/>
          <w:color w:val="000000" w:themeColor="text1"/>
          <w:u w:val="single"/>
          <w14:ligatures w14:val="none"/>
        </w:rPr>
      </w:pP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i/>
          <w:color w:val="ff0000"/>
          <w:u w:val="single"/>
        </w:rPr>
      </w:pPr>
      <w:r>
        <w:rPr>
          <w:rFonts w:ascii="Arial" w:hAnsi="Arial" w:cs="Arial"/>
          <w:i/>
          <w:color w:val="ff0000"/>
          <w:u w:val="single"/>
        </w:rPr>
      </w:r>
      <w:r>
        <w:rPr>
          <w:rFonts w:ascii="Arial" w:hAnsi="Arial" w:cs="Arial"/>
          <w:i/>
          <w:color w:val="ff0000"/>
          <w:u w:val="single"/>
        </w:rPr>
      </w:r>
      <w:r>
        <w:rPr>
          <w:rFonts w:ascii="Arial" w:hAnsi="Arial" w:cs="Arial"/>
          <w:i/>
          <w:color w:val="ff0000"/>
          <w:u w:val="single"/>
        </w:rPr>
      </w:r>
    </w:p>
    <w:p>
      <w:pPr>
        <w:pBdr/>
        <w:spacing/>
        <w:ind/>
        <w:rPr>
          <w:rFonts w:ascii="Arial" w:hAnsi="Arial" w:cs="Arial"/>
          <w:i/>
          <w:color w:val="ff0000" w:themeColor="text1"/>
          <w:u w:val="single"/>
        </w:rPr>
      </w:pPr>
      <w:r>
        <w:rPr>
          <w:rFonts w:ascii="Arial" w:hAnsi="Arial" w:cs="Arial"/>
          <w:i/>
          <w:color w:val="000000" w:themeColor="text1"/>
          <w:u w:val="single"/>
        </w:rPr>
        <w:t xml:space="preserve">Sousedící pozemky – příjezdové komunikace:</w:t>
      </w:r>
      <w:r>
        <w:rPr>
          <w:rFonts w:ascii="Arial" w:hAnsi="Arial" w:cs="Arial"/>
          <w:i/>
          <w:color w:val="000000" w:themeColor="text1"/>
          <w:u w:val="single"/>
        </w:rPr>
      </w:r>
      <w:r>
        <w:rPr>
          <w:rFonts w:ascii="Arial" w:hAnsi="Arial" w:cs="Arial"/>
          <w:i/>
          <w:color w:val="000000" w:themeColor="text1"/>
          <w:u w:val="single"/>
        </w:rPr>
      </w:r>
    </w:p>
    <w:p>
      <w:pPr>
        <w:pBdr/>
        <w:spacing/>
        <w:ind/>
        <w:rPr>
          <w:rFonts w:ascii="Arial" w:hAnsi="Arial" w:cs="Arial"/>
          <w:b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Parcelní číslo: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ab/>
        <w:tab/>
      </w:r>
      <w:r>
        <w:rPr>
          <w:rFonts w:ascii="Arial" w:hAnsi="Arial" w:cs="Arial"/>
          <w:b/>
          <w:color w:val="000000" w:themeColor="text1"/>
        </w:rPr>
        <w:t xml:space="preserve">2592/1</w:t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Katastrální území: </w:t>
      </w:r>
      <w:r>
        <w:rPr>
          <w:rFonts w:ascii="Arial" w:hAnsi="Arial" w:cs="Arial"/>
          <w:color w:val="000000" w:themeColor="text1"/>
        </w:rPr>
        <w:tab/>
        <w:tab/>
        <w:tab/>
      </w:r>
      <w:r>
        <w:rPr>
          <w:color w:val="000000" w:themeColor="text1"/>
        </w:rPr>
        <w:t xml:space="preserve">Karlovy Vary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Druh pozemku: </w:t>
      </w:r>
      <w:r>
        <w:rPr>
          <w:rFonts w:ascii="Arial" w:hAnsi="Arial" w:cs="Arial"/>
          <w:color w:val="000000" w:themeColor="text1"/>
        </w:rPr>
        <w:tab/>
        <w:tab/>
        <w:tab/>
        <w:t xml:space="preserve">ostatní plocha 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Způsob využití:</w:t>
      </w:r>
      <w:r>
        <w:rPr>
          <w:rFonts w:ascii="Arial" w:hAnsi="Arial" w:cs="Arial"/>
          <w:color w:val="000000" w:themeColor="text1"/>
        </w:rPr>
        <w:tab/>
        <w:tab/>
        <w:tab/>
      </w:r>
      <w:r>
        <w:rPr>
          <w:color w:val="000000" w:themeColor="text1"/>
        </w:rPr>
        <w:t xml:space="preserve">ostatní komunikace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Číslo LV: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ab/>
        <w:tab/>
        <w:t xml:space="preserve">1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 w:right="0" w:hanging="3543" w:left="3543"/>
        <w:rPr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</w:rPr>
        <w:t xml:space="preserve">Vlastnické právo:</w:t>
      </w:r>
      <w:r>
        <w:rPr>
          <w:rFonts w:ascii="Arial" w:hAnsi="Arial" w:cs="Arial"/>
          <w:color w:val="ff0000"/>
        </w:rPr>
        <w:tab/>
      </w:r>
      <w:r>
        <w:rPr>
          <w:color w:val="000000" w:themeColor="text1"/>
        </w:rPr>
        <w:t xml:space="preserve">Statutární město Karlovy Vary, Moskevská 2035/21, 36001 Karlovy Vary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 w:right="0" w:hanging="3543" w:left="3543"/>
        <w:rPr>
          <w:color w:val="000000" w:themeColor="text1"/>
          <w14:ligatures w14:val="none"/>
        </w:rPr>
      </w:pPr>
      <w:r>
        <w:rPr>
          <w:color w:val="000000" w:themeColor="text1"/>
        </w:rPr>
        <w:t xml:space="preserve">Způsob ochrany nemovitosti: </w:t>
      </w:r>
      <w:r>
        <w:rPr>
          <w:color w:val="000000" w:themeColor="text1"/>
        </w:rPr>
        <w:tab/>
        <w:t xml:space="preserve">pam. rezervace - budova, pozemek v památkové rezervaci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</w:r>
      <w:r>
        <w:rPr>
          <w:rFonts w:ascii="Arial" w:hAnsi="Arial" w:cs="Arial"/>
          <w:color w:val="ff0000"/>
        </w:rPr>
      </w:r>
      <w:r>
        <w:rPr>
          <w:rFonts w:ascii="Arial" w:hAnsi="Arial" w:cs="Arial"/>
          <w:color w:val="ff0000"/>
        </w:rPr>
      </w:r>
    </w:p>
    <w:p>
      <w:pPr>
        <w:pBdr/>
        <w:spacing/>
        <w:ind/>
        <w:rPr>
          <w:rFonts w:ascii="Arial" w:hAnsi="Arial" w:cs="Arial"/>
          <w:b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Parcelní číslo: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  <w:tab/>
        <w:t xml:space="preserve">2736/1</w:t>
      </w:r>
      <w:r>
        <w:rPr>
          <w:rFonts w:ascii="Arial" w:hAnsi="Arial" w:cs="Arial"/>
          <w:b/>
          <w:color w:val="000000" w:themeColor="text1"/>
        </w:rPr>
      </w:r>
      <w:r>
        <w:rPr>
          <w:rFonts w:ascii="Arial" w:hAnsi="Arial" w:cs="Arial"/>
          <w:b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Katastrální území: </w:t>
      </w:r>
      <w:r>
        <w:rPr>
          <w:rFonts w:ascii="Arial" w:hAnsi="Arial" w:cs="Arial"/>
          <w:color w:val="000000" w:themeColor="text1"/>
        </w:rPr>
        <w:tab/>
        <w:tab/>
        <w:tab/>
      </w:r>
      <w:r>
        <w:rPr>
          <w:color w:val="000000" w:themeColor="text1"/>
        </w:rPr>
        <w:t xml:space="preserve">Karlovy Vary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Druh pozemku: </w:t>
      </w:r>
      <w:r>
        <w:rPr>
          <w:rFonts w:ascii="Arial" w:hAnsi="Arial" w:cs="Arial"/>
          <w:color w:val="000000" w:themeColor="text1"/>
        </w:rPr>
        <w:tab/>
        <w:tab/>
        <w:tab/>
      </w:r>
      <w:r>
        <w:rPr>
          <w:rFonts w:ascii="Arial" w:hAnsi="Arial" w:cs="Arial"/>
          <w:color w:val="000000" w:themeColor="text1"/>
        </w:rPr>
        <w:t xml:space="preserve">ostatní plocha 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Způsob využití:</w:t>
      </w:r>
      <w:r>
        <w:rPr>
          <w:rFonts w:ascii="Arial" w:hAnsi="Arial" w:cs="Arial"/>
          <w:color w:val="000000" w:themeColor="text1"/>
        </w:rPr>
        <w:tab/>
        <w:tab/>
        <w:tab/>
      </w:r>
      <w:r>
        <w:rPr>
          <w:color w:val="000000" w:themeColor="text1"/>
        </w:rPr>
        <w:t xml:space="preserve">ostatní komunikace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Číslo LV: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ab/>
        <w:tab/>
        <w:t xml:space="preserve">1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 w:right="0" w:hanging="3543" w:left="3543"/>
        <w:rPr>
          <w:rFonts w:ascii="Arial" w:hAnsi="Arial" w:cs="Arial"/>
          <w:color w:val="ff0000" w:themeColor="text1"/>
        </w:rPr>
      </w:pPr>
      <w:r>
        <w:rPr>
          <w:rFonts w:ascii="Arial" w:hAnsi="Arial" w:cs="Arial"/>
          <w:color w:val="000000" w:themeColor="text1"/>
        </w:rPr>
        <w:t xml:space="preserve">Vlastnické právo:</w:t>
      </w:r>
      <w:r>
        <w:rPr>
          <w:rFonts w:ascii="Arial" w:hAnsi="Arial" w:cs="Arial"/>
          <w:color w:val="000000" w:themeColor="text1"/>
        </w:rPr>
        <w:tab/>
      </w:r>
      <w:r>
        <w:rPr>
          <w:color w:val="000000" w:themeColor="text1"/>
        </w:rPr>
        <w:t xml:space="preserve">Statutární město Karlovy Vary, Moskevská 2035/21, 36001 Karlovy Vary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 w:right="0" w:hanging="3543" w:left="3543"/>
        <w:rPr>
          <w:color w:val="000000" w:themeColor="text1"/>
          <w14:ligatures w14:val="none"/>
        </w:rPr>
      </w:pPr>
      <w:r>
        <w:rPr>
          <w:color w:val="000000" w:themeColor="text1"/>
        </w:rPr>
        <w:t xml:space="preserve">Způsob ochrany nemovitosti: </w:t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pam. zóna - budova, pozemek v památkové zóně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 w:right="0" w:hanging="3543" w:left="3543"/>
        <w:rPr>
          <w:color w:val="000000" w:themeColor="text1"/>
          <w14:ligatures w14:val="none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 xml:space="preserve">vnitřní území lázeňského místa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</w:r>
    </w:p>
    <w:p>
      <w:pPr>
        <w:pBdr/>
        <w:spacing/>
        <w:ind w:right="0" w:hanging="3" w:left="3543"/>
        <w:rPr>
          <w:color w:val="000000" w:themeColor="text1"/>
          <w14:ligatures w14:val="none"/>
        </w:rPr>
      </w:pPr>
      <w:r>
        <w:rPr>
          <w:color w:val="000000" w:themeColor="text1"/>
        </w:rPr>
        <w:t xml:space="preserve">pam. rezervace - budova, pozemek v památkové rezervaci</w:t>
      </w:r>
      <w:r>
        <w:rPr>
          <w:color w:val="000000" w:themeColor="text1"/>
        </w:rPr>
      </w:r>
      <w:r>
        <w:rPr>
          <w:color w:val="000000" w:themeColor="text1"/>
        </w:rPr>
      </w:r>
      <w:r>
        <w:rPr>
          <w:rFonts w:ascii="Arial" w:hAnsi="Arial" w:cs="Arial"/>
          <w:color w:val="ff0000"/>
        </w:rPr>
      </w:r>
      <w:r>
        <w:rPr>
          <w:rFonts w:ascii="Arial" w:hAnsi="Arial" w:cs="Arial"/>
          <w:color w:val="ff0000"/>
        </w:rPr>
      </w:r>
      <w:r>
        <w:rPr>
          <w:color w:val="000000" w:themeColor="text1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3543" w:left="3543"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</w:rPr>
        <w:t xml:space="preserve">Omezení vlastnického práva: </w:t>
        <w:tab/>
      </w:r>
      <w:r>
        <w:rPr>
          <w:rFonts w:ascii="Arial" w:hAnsi="Arial" w:cs="Arial"/>
          <w:color w:val="000000" w:themeColor="text1"/>
        </w:rPr>
        <w:t xml:space="preserve">Věcné břemeno zřizování a provozování vedení</w:t>
      </w:r>
      <w:r>
        <w:rPr>
          <w:rFonts w:ascii="Arial" w:hAnsi="Arial" w:cs="Arial"/>
          <w:color w:val="000000" w:themeColor="text1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3543" w:left="3543"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  <w14:ligatures w14:val="none"/>
        </w:rPr>
      </w:r>
      <w:r>
        <w:rPr>
          <w:rFonts w:ascii="Arial" w:hAnsi="Arial" w:cs="Arial"/>
          <w:color w:val="000000" w:themeColor="text1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3543" w:left="3543"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  <w14:ligatures w14:val="none"/>
        </w:rPr>
      </w:r>
      <w:r>
        <w:rPr>
          <w:rFonts w:ascii="Arial" w:hAnsi="Arial" w:cs="Arial"/>
          <w:color w:val="000000" w:themeColor="text1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3543" w:left="3543"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  <w14:ligatures w14:val="none"/>
        </w:rPr>
      </w:r>
      <w:r>
        <w:rPr>
          <w:rFonts w:ascii="Arial" w:hAnsi="Arial" w:cs="Arial"/>
          <w:color w:val="000000" w:themeColor="text1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3543" w:left="3543"/>
        <w:rPr>
          <w:rFonts w:ascii="Arial" w:hAnsi="Arial" w:cs="Arial"/>
          <w:color w:val="000000" w:themeColor="text1"/>
          <w14:ligatures w14:val="none"/>
        </w:rPr>
      </w:pPr>
      <w:r>
        <w:rPr>
          <w:rFonts w:ascii="Arial" w:hAnsi="Arial" w:cs="Arial"/>
          <w:color w:val="000000" w:themeColor="text1"/>
          <w:highlight w:val="none"/>
          <w14:ligatures w14:val="none"/>
        </w:rPr>
      </w:r>
      <w:r>
        <w:rPr>
          <w:rFonts w:ascii="Arial" w:hAnsi="Arial" w:cs="Arial"/>
          <w:color w:val="000000" w:themeColor="text1"/>
          <w:highlight w:val="none"/>
          <w14:ligatures w14:val="none"/>
        </w:rPr>
      </w:r>
    </w:p>
    <w:p>
      <w:pPr>
        <w:pStyle w:val="802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/>
        <w:rPr>
          <w:b/>
          <w:bCs/>
          <w14:ligatures w14:val="none"/>
        </w:rPr>
      </w:pPr>
      <w:r>
        <w:rPr>
          <w:b/>
          <w:bCs/>
        </w:rPr>
      </w:r>
      <w:r>
        <w:rPr>
          <w:b/>
          <w:bCs/>
        </w:rPr>
      </w:r>
      <w:bookmarkStart w:id="2" w:name="_Toc274202988"/>
      <w:r>
        <w:rPr>
          <w:b/>
          <w:bCs/>
        </w:rPr>
      </w:r>
      <w:bookmarkStart w:id="3" w:name="_Toc274900897"/>
      <w:r>
        <w:rPr>
          <w:b/>
          <w:bCs/>
        </w:rPr>
        <w:t xml:space="preserve">identifikace stavebníka</w:t>
      </w:r>
      <w:bookmarkEnd w:id="2"/>
      <w:r>
        <w:rPr>
          <w:b/>
          <w:bCs/>
        </w:rPr>
      </w:r>
      <w:bookmarkEnd w:id="3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Bdr/>
        <w:spacing/>
        <w:ind/>
        <w:rPr>
          <w:b/>
          <w:bCs/>
          <w:highlight w:val="none"/>
        </w:rPr>
      </w:pPr>
      <w:r>
        <w:rPr>
          <w:b/>
          <w:bCs/>
        </w:rPr>
        <w:t xml:space="preserve">Obchodní akademie, vyšší odborná škola cestovního ruchu a jazyková škola s právem jazykové zkoušky Karlovy Vary, příspěvková organizace</w:t>
      </w:r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highlight w:val="none"/>
        </w:rPr>
      </w:pPr>
      <w:r>
        <w:t xml:space="preserve">Bezručova 1312/</w:t>
      </w:r>
      <w:r>
        <w:t xml:space="preserve">17 ,</w:t>
      </w:r>
      <w:r>
        <w:t xml:space="preserve"> 360 01 Karlovy Vary</w:t>
      </w:r>
      <w:r/>
      <w:r/>
    </w:p>
    <w:p>
      <w:pPr>
        <w:pBdr/>
        <w:spacing/>
        <w:ind/>
        <w:rPr/>
      </w:pPr>
      <w:r>
        <w:t xml:space="preserve">IČ. 63553597 </w:t>
      </w:r>
      <w:r/>
      <w:r/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802"/>
        <w:pBdr/>
        <w:spacing/>
        <w:ind w:right="0" w:firstLine="0" w:left="850"/>
        <w:rPr>
          <w:sz w:val="22"/>
          <w:szCs w:val="22"/>
          <w14:ligatures w14:val="none"/>
        </w:rPr>
      </w:pPr>
      <w:r>
        <w:rPr>
          <w:b/>
          <w:bCs/>
        </w:rPr>
      </w:r>
      <w:bookmarkStart w:id="4" w:name="_Toc274202989"/>
      <w:r>
        <w:rPr>
          <w:b/>
          <w:bCs/>
        </w:rPr>
      </w:r>
      <w:bookmarkStart w:id="5" w:name="_Toc274900898"/>
      <w:r>
        <w:rPr>
          <w:b/>
          <w:bCs/>
        </w:rPr>
        <w:t xml:space="preserve">identifikace projektanta</w:t>
      </w:r>
      <w:bookmarkEnd w:id="4"/>
      <w:r>
        <w:rPr>
          <w:b/>
          <w:bCs/>
        </w:rPr>
      </w:r>
      <w:bookmarkEnd w:id="5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 w:left="0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/>
        <w:rPr>
          <w:rFonts w:cs="Arial"/>
          <w:b/>
        </w:rPr>
      </w:pPr>
      <w:r>
        <w:rPr>
          <w:rFonts w:cs="Arial"/>
          <w:b/>
        </w:rPr>
        <w:t xml:space="preserve">ARTENDR s.r.o.</w:t>
      </w:r>
      <w:r>
        <w:rPr>
          <w:rFonts w:cs="Arial"/>
          <w:b/>
        </w:rPr>
      </w:r>
      <w:r>
        <w:rPr>
          <w:rFonts w:cs="Arial"/>
          <w:b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Nádražní 67, 281 51 Velký Osek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IČO: 24190853, DIČ: CZ24190853</w:t>
      </w:r>
      <w:r>
        <w:rPr>
          <w:rFonts w:cs="Arial"/>
        </w:rPr>
      </w:r>
      <w:r>
        <w:rPr>
          <w:rFonts w:cs="Arial"/>
        </w:rPr>
      </w:r>
    </w:p>
    <w:p>
      <w:pPr>
        <w:pStyle w:val="809"/>
        <w:pBdr/>
        <w:tabs>
          <w:tab w:val="center" w:leader="none" w:pos="-3060"/>
          <w:tab w:val="clear" w:leader="none" w:pos="4536"/>
          <w:tab w:val="clear" w:leader="none" w:pos="9072"/>
        </w:tabs>
        <w:spacing/>
        <w:ind/>
        <w:jc w:val="both"/>
        <w:rPr/>
      </w:pPr>
      <w:r>
        <w:t xml:space="preserve">spisová značka OR: C.187147 - Městský soud v Praze</w:t>
      </w:r>
      <w:r/>
      <w:r/>
    </w:p>
    <w:p>
      <w:pPr>
        <w:pBdr/>
        <w:spacing/>
        <w:ind/>
        <w:rPr/>
      </w:pPr>
      <w:r/>
      <w:r/>
      <w:r/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Tel.: </w:t>
      </w:r>
      <w:r>
        <w:rPr>
          <w:rFonts w:cs="Arial"/>
        </w:rPr>
        <w:tab/>
        <w:t xml:space="preserve">+ 420 605 283 808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e-mail: </w:t>
      </w:r>
      <w:hyperlink r:id="rId12" w:tooltip="about:blank" w:history="1">
        <w:r>
          <w:rPr>
            <w:rStyle w:val="812"/>
            <w:rFonts w:cs="Arial"/>
          </w:rPr>
          <w:t xml:space="preserve">info@artendr.cz</w:t>
        </w:r>
      </w:hyperlink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www.artendr.cz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802"/>
        <w:pBdr/>
        <w:spacing/>
        <w:ind w:right="0" w:firstLine="0" w:left="850"/>
        <w:rPr>
          <w:sz w:val="22"/>
          <w:szCs w:val="22"/>
          <w14:ligatures w14:val="none"/>
        </w:rPr>
      </w:pPr>
      <w:r>
        <w:rPr>
          <w:b/>
          <w:bCs/>
        </w:rPr>
      </w:r>
      <w:bookmarkStart w:id="6" w:name="_Toc274900899"/>
      <w:r>
        <w:rPr>
          <w:b/>
          <w:bCs/>
        </w:rPr>
        <w:t xml:space="preserve">identifikace </w:t>
      </w:r>
      <w:r>
        <w:rPr>
          <w:b/>
          <w:bCs/>
        </w:rPr>
        <w:t xml:space="preserve">zhotovitele stavby</w:t>
      </w:r>
      <w:bookmarkEnd w:id="6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ascii="Arial" w:hAnsi="Arial" w:cs="Arial"/>
        </w:rPr>
        <w:t xml:space="preserve">Zhotovitel dosud neurčen. Bude vybrán na základě výběrového řízen</w:t>
      </w:r>
      <w:r/>
      <w:r>
        <w:rPr>
          <w:rFonts w:ascii="Arial" w:hAnsi="Arial" w:cs="Arial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802"/>
        <w:pBdr/>
        <w:spacing/>
        <w:ind w:right="0" w:firstLine="425" w:left="425"/>
        <w:rPr>
          <w:sz w:val="22"/>
          <w:szCs w:val="22"/>
          <w14:ligatures w14:val="none"/>
        </w:rPr>
      </w:pPr>
      <w:r>
        <w:rPr>
          <w:b/>
          <w:bCs/>
        </w:rPr>
      </w:r>
      <w:bookmarkStart w:id="7" w:name="_Toc274202990"/>
      <w:r>
        <w:rPr>
          <w:b/>
          <w:bCs/>
        </w:rPr>
      </w:r>
      <w:bookmarkStart w:id="8" w:name="_Toc274900900"/>
      <w:r>
        <w:rPr>
          <w:b/>
          <w:bCs/>
        </w:rPr>
        <w:t xml:space="preserve">základní charakteristika stavby a její účel :</w:t>
      </w:r>
      <w:bookmarkEnd w:id="7"/>
      <w:r>
        <w:rPr>
          <w:b/>
          <w:bCs/>
        </w:rPr>
      </w:r>
      <w:bookmarkEnd w:id="8"/>
      <w:r>
        <w:rPr>
          <w:b/>
          <w:bCs/>
        </w:rPr>
      </w:r>
      <w:r>
        <w:rPr>
          <w:b/>
          <w:bCs/>
        </w:rPr>
      </w:r>
    </w:p>
    <w:p>
      <w:pPr>
        <w:widowControl w:val="false"/>
        <w:pBdr/>
        <w:tabs>
          <w:tab w:val="left" w:leader="dot" w:pos="8931"/>
        </w:tabs>
        <w:spacing w:after="240" w:before="240" w:line="246" w:lineRule="exact"/>
        <w:ind/>
        <w:jc w:val="both"/>
        <w:rPr>
          <w:rFonts w:cstheme="minorHAnsi"/>
          <w:color w:val="000000" w:themeColor="text1"/>
          <w:highlight w:val="none"/>
        </w:rPr>
      </w:pPr>
      <w:r>
        <w:rPr>
          <w:highlight w:val="none"/>
        </w:rPr>
        <w:t xml:space="preserve">Stávající samostatně stojící </w:t>
      </w:r>
      <w:r>
        <w:rPr>
          <w:highlight w:val="none"/>
        </w:rPr>
        <w:t xml:space="preserve">čtyř</w:t>
      </w:r>
      <w:r>
        <w:rPr>
          <w:highlight w:val="none"/>
        </w:rPr>
        <w:t xml:space="preserve">podlažní budova </w:t>
      </w:r>
      <w:r>
        <w:rPr>
          <w:highlight w:val="none"/>
        </w:rPr>
        <w:t xml:space="preserve">školy v ulici Bezručova </w:t>
      </w:r>
      <w:r>
        <w:rPr>
          <w:highlight w:val="none"/>
        </w:rPr>
        <w:t xml:space="preserve">č. p. </w:t>
      </w:r>
      <w:r>
        <w:rPr>
          <w:highlight w:val="none"/>
        </w:rPr>
        <w:t xml:space="preserve">1312/17</w:t>
      </w:r>
      <w:r>
        <w:rPr>
          <w:highlight w:val="none"/>
        </w:rPr>
        <w:t xml:space="preserve"> je umístěna v</w:t>
      </w:r>
      <w:r>
        <w:rPr>
          <w:highlight w:val="none"/>
        </w:rPr>
        <w:t xml:space="preserve"> blízkosti centra města Karlovy Vary</w:t>
      </w:r>
      <w:r>
        <w:rPr>
          <w:highlight w:val="none"/>
        </w:rPr>
        <w:t xml:space="preserve">, přístupné po stávající místní komunikaci beze změn. </w:t>
      </w:r>
      <w:r>
        <w:rPr>
          <w:highlight w:val="none"/>
        </w:rPr>
        <w:t xml:space="preserve"> </w:t>
      </w:r>
      <w:r>
        <w:rPr>
          <w:rFonts w:cstheme="minorHAnsi"/>
          <w:highlight w:val="yellow"/>
        </w:rPr>
      </w:r>
      <w:r>
        <w:rPr>
          <w:rFonts w:cstheme="minorHAnsi"/>
          <w:color w:val="000000" w:themeColor="text1"/>
          <w:highlight w:val="none"/>
        </w:rPr>
      </w:r>
    </w:p>
    <w:p>
      <w:pPr>
        <w:widowControl w:val="false"/>
        <w:pBdr/>
        <w:tabs>
          <w:tab w:val="left" w:leader="dot" w:pos="8931"/>
        </w:tabs>
        <w:spacing w:after="240" w:before="240" w:line="246" w:lineRule="exact"/>
        <w:ind/>
        <w:jc w:val="both"/>
        <w:rPr>
          <w:rFonts w:cstheme="minorHAnsi"/>
          <w:color w:val="000000" w:themeColor="text1"/>
          <w:highlight w:val="none"/>
        </w:rPr>
      </w:pPr>
      <w:r>
        <w:rPr>
          <w:rFonts w:cstheme="minorHAnsi"/>
          <w:color w:val="000000" w:themeColor="text1"/>
          <w:highlight w:val="none"/>
        </w:rPr>
        <w:t xml:space="preserve">Stavební úpravy objektu zahrnují </w:t>
      </w:r>
      <w:r>
        <w:rPr>
          <w:rFonts w:cstheme="minorHAnsi"/>
          <w:color w:val="000000" w:themeColor="text1"/>
          <w:highlight w:val="none"/>
        </w:rPr>
        <w:t xml:space="preserve">rekonstrukci všech sociálních zařízení a místnosti pro úklid na všech podlažích, výstavba nového výtahu přistavěného k fasádě stávající objektu</w:t>
      </w:r>
      <w:r>
        <w:rPr>
          <w:rFonts w:cstheme="minorHAnsi"/>
          <w:color w:val="000000" w:themeColor="text1"/>
          <w:highlight w:val="none"/>
        </w:rPr>
        <w:t xml:space="preserve">, zajišťující přístup osob s omezeným pohybem do každého podlaží.</w:t>
      </w:r>
      <w:r>
        <w:rPr>
          <w:rFonts w:cstheme="minorHAnsi"/>
          <w:color w:val="000000" w:themeColor="text1"/>
          <w:highlight w:val="none"/>
        </w:rPr>
      </w:r>
      <w:r>
        <w:rPr>
          <w:rFonts w:cstheme="minorHAnsi"/>
          <w:color w:val="000000" w:themeColor="text1"/>
          <w:highlight w:val="none"/>
        </w:rPr>
      </w:r>
    </w:p>
    <w:p>
      <w:pPr>
        <w:pBdr/>
        <w:spacing/>
        <w:ind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  <w:t xml:space="preserve">Napojení areálu na dopravní infrastrukturu je </w:t>
      </w:r>
      <w:r>
        <w:rPr>
          <w:color w:val="000000" w:themeColor="text1"/>
          <w:highlight w:val="none"/>
        </w:rPr>
        <w:t xml:space="preserve">stávajícím</w:t>
      </w:r>
      <w:r>
        <w:rPr>
          <w:color w:val="000000" w:themeColor="text1"/>
          <w:highlight w:val="none"/>
        </w:rPr>
        <w:t xml:space="preserve"> vjezdem z ulice </w:t>
      </w:r>
      <w:r>
        <w:rPr>
          <w:color w:val="000000" w:themeColor="text1"/>
          <w:highlight w:val="none"/>
        </w:rPr>
        <w:t xml:space="preserve">Ondříčkova.</w:t>
      </w:r>
      <w:r>
        <w:rPr>
          <w:color w:val="000000" w:themeColor="text1"/>
          <w:highlight w:val="none"/>
        </w:rPr>
        <w:t xml:space="preserve"> 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</w:r>
      <w:r>
        <w:rPr>
          <w:rFonts w:eastAsiaTheme="minorHAnsi"/>
        </w:rPr>
      </w:r>
      <w:r>
        <w:rPr>
          <w:rFonts w:eastAsiaTheme="minorHAnsi"/>
        </w:rPr>
      </w:r>
      <w:r>
        <w:rPr>
          <w:rFonts w:ascii="Arial" w:hAnsi="Arial" w:cs="Arial"/>
          <w:color w:val="ff0000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802"/>
        <w:pBdr/>
        <w:spacing/>
        <w:ind w:right="0" w:firstLine="0" w:left="850"/>
        <w:rPr>
          <w:sz w:val="22"/>
          <w:szCs w:val="22"/>
          <w14:ligatures w14:val="none"/>
        </w:rPr>
      </w:pPr>
      <w:r>
        <w:rPr>
          <w:b/>
          <w:bCs/>
        </w:rPr>
      </w:r>
      <w:bookmarkStart w:id="9" w:name="_Toc274202991"/>
      <w:r>
        <w:rPr>
          <w:b/>
          <w:bCs/>
        </w:rPr>
      </w:r>
      <w:bookmarkStart w:id="10" w:name="_Toc274900901"/>
      <w:r>
        <w:rPr>
          <w:b/>
          <w:bCs/>
        </w:rPr>
        <w:t xml:space="preserve">údaje o dosavadním využití a zastavěnosti území, o stavebním pozemku a o </w:t>
      </w:r>
      <w:r>
        <w:rPr>
          <w:b/>
          <w:bCs/>
        </w:rPr>
        <w:t xml:space="preserve">m</w:t>
      </w:r>
      <w:r>
        <w:rPr>
          <w:b/>
          <w:bCs/>
        </w:rPr>
        <w:t xml:space="preserve">ajetkoprávních vztazích,</w:t>
      </w:r>
      <w:bookmarkEnd w:id="9"/>
      <w:r>
        <w:rPr>
          <w:b/>
          <w:bCs/>
        </w:rPr>
      </w:r>
      <w:bookmarkEnd w:id="10"/>
      <w:r>
        <w:rPr>
          <w:b/>
          <w:bCs/>
        </w:rPr>
      </w:r>
      <w:r>
        <w:rPr>
          <w:b/>
          <w:bCs/>
        </w:rPr>
      </w:r>
    </w:p>
    <w:p>
      <w:pPr>
        <w:widowControl w:val="false"/>
        <w:pBdr/>
        <w:tabs>
          <w:tab w:val="left" w:leader="dot" w:pos="8931"/>
        </w:tabs>
        <w:spacing w:after="240" w:before="240" w:line="246" w:lineRule="exact"/>
        <w:ind/>
        <w:jc w:val="both"/>
        <w:rPr>
          <w:rFonts w:cstheme="minorHAnsi"/>
          <w:color w:val="000000"/>
          <w:highlight w:val="none"/>
        </w:rPr>
      </w:pPr>
      <w:r>
        <w:rPr>
          <w:rFonts w:cstheme="minorHAnsi"/>
          <w:color w:val="000000"/>
        </w:rPr>
        <w:t xml:space="preserve">Objekt bude i nadále využíván jako </w:t>
      </w:r>
      <w:r>
        <w:rPr>
          <w:rFonts w:cstheme="minorHAnsi"/>
          <w:color w:val="000000"/>
        </w:rPr>
        <w:t xml:space="preserve">školní zařízení</w:t>
      </w:r>
      <w:r>
        <w:rPr>
          <w:rFonts w:cstheme="minorHAnsi"/>
          <w:color w:val="000000"/>
        </w:rPr>
        <w:t xml:space="preserve">.</w:t>
      </w:r>
      <w:r>
        <w:rPr>
          <w:rFonts w:cstheme="minorHAnsi"/>
          <w:color w:val="000000"/>
        </w:rPr>
      </w:r>
      <w:r>
        <w:rPr>
          <w:rFonts w:cstheme="minorHAnsi"/>
          <w:color w:val="000000"/>
        </w:rPr>
      </w:r>
      <w:r>
        <w:rPr>
          <w:rFonts w:ascii="Arial" w:hAnsi="Arial" w:cs="Arial"/>
          <w:color w:val="ff0000"/>
        </w:rPr>
      </w:r>
      <w:r>
        <w:rPr>
          <w:rFonts w:ascii="Arial" w:hAnsi="Arial" w:cs="Arial"/>
          <w:color w:val="ff0000"/>
          <w:highlight w:val="none"/>
        </w:rPr>
      </w:r>
      <w:r>
        <w:rPr>
          <w:rFonts w:cstheme="minorHAnsi"/>
          <w:color w:val="000000"/>
        </w:rPr>
      </w:r>
    </w:p>
    <w:p>
      <w:pPr>
        <w:widowControl w:val="false"/>
        <w:pBdr/>
        <w:tabs>
          <w:tab w:val="left" w:leader="dot" w:pos="8931"/>
        </w:tabs>
        <w:spacing w:after="240" w:before="240" w:line="246" w:lineRule="exact"/>
        <w:ind/>
        <w:jc w:val="both"/>
        <w:rPr>
          <w:rFonts w:cstheme="minorHAnsi"/>
          <w:color w:val="000000"/>
        </w:rPr>
      </w:pPr>
      <w:r>
        <w:rPr>
          <w:rFonts w:cstheme="minorHAnsi"/>
          <w:color w:val="000000"/>
          <w:highlight w:val="none"/>
        </w:rPr>
      </w:r>
      <w:r>
        <w:rPr>
          <w:rFonts w:cstheme="minorHAnsi"/>
          <w:color w:val="000000"/>
          <w:highlight w:val="none"/>
        </w:rPr>
      </w:r>
    </w:p>
    <w:p>
      <w:pPr>
        <w:pBdr/>
        <w:spacing/>
        <w:ind w:left="0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Style w:val="800"/>
        <w:numPr>
          <w:ilvl w:val="0"/>
          <w:numId w:val="65"/>
        </w:numPr>
        <w:pBdr/>
        <w:spacing/>
        <w:ind/>
        <w:rPr>
          <w:rFonts w:ascii="Arial" w:hAnsi="Arial" w:cs="Arial"/>
          <w:color w:val="auto"/>
          <w:sz w:val="24"/>
          <w:szCs w:val="24"/>
          <w:u w:val="single"/>
          <w14:ligatures w14:val="none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</w:r>
      <w:bookmarkStart w:id="12" w:name="_Toc274900903"/>
      <w:r>
        <w:rPr>
          <w:rFonts w:ascii="Arial" w:hAnsi="Arial" w:cs="Arial"/>
          <w:color w:val="auto"/>
          <w:sz w:val="24"/>
          <w:szCs w:val="24"/>
          <w:u w:val="single"/>
        </w:rPr>
        <w:t xml:space="preserve">Zásady organizace výstavby</w:t>
      </w:r>
      <w:bookmarkEnd w:id="12"/>
      <w:r>
        <w:rPr>
          <w:rFonts w:ascii="Arial" w:hAnsi="Arial" w:cs="Arial"/>
          <w:color w:val="auto"/>
          <w:sz w:val="24"/>
          <w:szCs w:val="24"/>
          <w:u w:val="single"/>
        </w:rPr>
      </w:r>
      <w:r>
        <w:rPr>
          <w:rFonts w:ascii="Arial" w:hAnsi="Arial" w:cs="Arial"/>
          <w:color w:val="auto"/>
          <w:sz w:val="24"/>
          <w:szCs w:val="24"/>
          <w:u w:val="single"/>
        </w:rPr>
      </w:r>
    </w:p>
    <w:p>
      <w:pPr>
        <w:pBdr/>
        <w:spacing/>
        <w:ind/>
        <w:rPr>
          <w:color w:val="0070c0"/>
        </w:rPr>
      </w:pPr>
      <w:r>
        <w:rPr>
          <w:color w:val="0070c0"/>
        </w:rPr>
      </w:r>
      <w:bookmarkStart w:id="14" w:name="_Toc265248274"/>
      <w:r>
        <w:rPr>
          <w:color w:val="0070c0"/>
        </w:rPr>
        <w:tab/>
      </w:r>
      <w:r>
        <w:rPr>
          <w:color w:val="0070c0"/>
        </w:rPr>
      </w:r>
      <w:r>
        <w:rPr>
          <w:color w:val="0070c0"/>
        </w:rPr>
      </w:r>
    </w:p>
    <w:p>
      <w:pPr>
        <w:pBdr/>
        <w:spacing/>
        <w:ind/>
        <w:rPr>
          <w:rFonts w:ascii="Arial" w:hAnsi="Arial" w:cs="Arial"/>
          <w:color w:val="0070c0" w:themeColor="text1"/>
          <w:u w:val="single"/>
        </w:rPr>
      </w:pPr>
      <w:r>
        <w:rPr>
          <w:color w:val="000000" w:themeColor="text1"/>
        </w:rPr>
        <w:tab/>
      </w:r>
      <w:r>
        <w:rPr>
          <w:rFonts w:ascii="Arial" w:hAnsi="Arial" w:cs="Arial"/>
          <w:color w:val="000000" w:themeColor="text1"/>
          <w:u w:val="single"/>
        </w:rPr>
        <w:t xml:space="preserve">Informace o rozsahu staveniště</w:t>
      </w:r>
      <w:bookmarkEnd w:id="14"/>
      <w:r>
        <w:rPr>
          <w:rFonts w:ascii="Arial" w:hAnsi="Arial" w:cs="Arial"/>
          <w:color w:val="000000" w:themeColor="text1"/>
          <w:u w:val="single"/>
        </w:rPr>
        <w:t xml:space="preserve"> </w:t>
      </w:r>
      <w:r>
        <w:rPr>
          <w:rFonts w:ascii="Arial" w:hAnsi="Arial" w:cs="Arial"/>
          <w:color w:val="000000" w:themeColor="text1"/>
          <w:u w:val="single"/>
        </w:rPr>
      </w:r>
      <w:r>
        <w:rPr>
          <w:rFonts w:ascii="Arial" w:hAnsi="Arial" w:cs="Arial"/>
          <w:color w:val="000000" w:themeColor="text1"/>
          <w:u w:val="single"/>
        </w:rPr>
      </w:r>
    </w:p>
    <w:p>
      <w:pPr>
        <w:pBdr/>
        <w:spacing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Vlastní objekt, jehož části se stavební úpravy týkají</w:t>
      </w:r>
      <w:r>
        <w:rPr>
          <w:rFonts w:ascii="Arial" w:hAnsi="Arial" w:cs="Arial"/>
          <w:color w:val="000000" w:themeColor="text1"/>
        </w:rPr>
        <w:t xml:space="preserve">, je na pozemku s parcelním čí</w:t>
      </w:r>
      <w:r>
        <w:rPr>
          <w:rFonts w:ascii="Arial" w:hAnsi="Arial" w:cs="Arial"/>
          <w:color w:val="000000" w:themeColor="text1"/>
        </w:rPr>
        <w:t xml:space="preserve">s</w:t>
      </w:r>
      <w:r>
        <w:rPr>
          <w:rFonts w:ascii="Arial" w:hAnsi="Arial" w:cs="Arial"/>
          <w:color w:val="000000" w:themeColor="text1"/>
        </w:rPr>
        <w:t xml:space="preserve">lem st. 2739.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70c0" w:themeColor="text1"/>
          <w:u w:val="single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  <w:u w:val="single"/>
        </w:rPr>
        <w:t xml:space="preserve">Postup stavebních prací</w:t>
      </w:r>
      <w:r>
        <w:rPr>
          <w:rFonts w:ascii="Arial" w:hAnsi="Arial" w:cs="Arial"/>
          <w:color w:val="000000" w:themeColor="text1"/>
          <w:u w:val="single"/>
        </w:rPr>
      </w:r>
      <w:r>
        <w:rPr>
          <w:rFonts w:ascii="Arial" w:hAnsi="Arial" w:cs="Arial"/>
          <w:color w:val="000000" w:themeColor="text1"/>
          <w:u w:val="single"/>
        </w:rPr>
      </w:r>
    </w:p>
    <w:p>
      <w:pPr>
        <w:pBdr/>
        <w:spacing/>
        <w:ind/>
        <w:rPr>
          <w:rFonts w:ascii="Arial" w:hAnsi="Arial" w:eastAsia="Calibri" w:cs="Arial"/>
          <w:color w:val="0070c0" w:themeColor="text1"/>
          <w:highlight w:val="none"/>
        </w:rPr>
      </w:pPr>
      <w:r>
        <w:rPr>
          <w:rFonts w:ascii="Arial" w:hAnsi="Arial" w:eastAsia="Calibri" w:cs="Arial"/>
          <w:color w:val="000000" w:themeColor="text1"/>
        </w:rPr>
        <w:t xml:space="preserve">Práce v interiéru budou probíhat postupně dle navazujících technologických postupů. Po provedení </w:t>
      </w:r>
      <w:r>
        <w:rPr>
          <w:rFonts w:ascii="Arial" w:hAnsi="Arial" w:eastAsia="Calibri" w:cs="Arial"/>
          <w:color w:val="000000" w:themeColor="text1"/>
        </w:rPr>
        <w:t xml:space="preserve">bouracích prací a po provedení </w:t>
      </w:r>
      <w:r>
        <w:rPr>
          <w:rFonts w:ascii="Arial" w:hAnsi="Arial" w:eastAsia="Calibri" w:cs="Arial"/>
          <w:color w:val="000000" w:themeColor="text1"/>
        </w:rPr>
        <w:t xml:space="preserve">vnitřních instalací</w:t>
      </w:r>
      <w:r>
        <w:rPr>
          <w:rFonts w:ascii="Arial" w:hAnsi="Arial" w:eastAsia="Calibri" w:cs="Arial"/>
          <w:color w:val="000000" w:themeColor="text1"/>
        </w:rPr>
        <w:t xml:space="preserve"> a nových podlahových ko</w:t>
      </w:r>
      <w:r>
        <w:rPr>
          <w:rFonts w:ascii="Arial" w:hAnsi="Arial" w:eastAsia="Calibri" w:cs="Arial"/>
          <w:color w:val="000000" w:themeColor="text1"/>
        </w:rPr>
        <w:t xml:space="preserve">n</w:t>
      </w:r>
      <w:r>
        <w:rPr>
          <w:rFonts w:ascii="Arial" w:hAnsi="Arial" w:eastAsia="Calibri" w:cs="Arial"/>
          <w:color w:val="000000" w:themeColor="text1"/>
        </w:rPr>
        <w:t xml:space="preserve">strukcí </w:t>
      </w:r>
      <w:r>
        <w:rPr>
          <w:rFonts w:ascii="Arial" w:hAnsi="Arial" w:eastAsia="Calibri" w:cs="Arial"/>
          <w:color w:val="000000" w:themeColor="text1"/>
        </w:rPr>
        <w:t xml:space="preserve"> bude provedeno dokončení </w:t>
      </w:r>
      <w:r>
        <w:rPr>
          <w:rFonts w:ascii="Arial" w:hAnsi="Arial" w:cs="Arial"/>
          <w:color w:val="000000" w:themeColor="text1"/>
        </w:rPr>
        <w:t xml:space="preserve">podlah, </w:t>
      </w:r>
      <w:r>
        <w:rPr>
          <w:rFonts w:ascii="Arial" w:hAnsi="Arial" w:eastAsia="Calibri" w:cs="Arial"/>
          <w:color w:val="000000" w:themeColor="text1"/>
        </w:rPr>
        <w:t xml:space="preserve">příček, </w:t>
      </w:r>
      <w:r>
        <w:rPr>
          <w:rFonts w:ascii="Arial" w:hAnsi="Arial" w:cs="Arial"/>
          <w:color w:val="000000" w:themeColor="text1"/>
        </w:rPr>
        <w:t xml:space="preserve">montáž čistých prostor, </w:t>
      </w:r>
      <w:r>
        <w:rPr>
          <w:rFonts w:ascii="Arial" w:hAnsi="Arial" w:eastAsia="Calibri" w:cs="Arial"/>
          <w:color w:val="000000" w:themeColor="text1"/>
        </w:rPr>
        <w:t xml:space="preserve">obklady, montáže zařizovacích předmětů osvětlení, malby, instalace povrchů </w:t>
      </w:r>
      <w:r>
        <w:rPr>
          <w:rFonts w:ascii="Arial" w:hAnsi="Arial" w:eastAsia="Calibri" w:cs="Arial"/>
          <w:color w:val="000000" w:themeColor="text1"/>
        </w:rPr>
        <w:t xml:space="preserve">a finální úpr</w:t>
      </w:r>
      <w:r>
        <w:rPr>
          <w:rFonts w:ascii="Arial" w:hAnsi="Arial" w:eastAsia="Calibri" w:cs="Arial"/>
          <w:color w:val="000000" w:themeColor="text1"/>
        </w:rPr>
        <w:t xml:space="preserve">a</w:t>
      </w:r>
      <w:r>
        <w:rPr>
          <w:rFonts w:ascii="Arial" w:hAnsi="Arial" w:eastAsia="Calibri" w:cs="Arial"/>
          <w:color w:val="000000" w:themeColor="text1"/>
        </w:rPr>
        <w:t xml:space="preserve">vy.</w:t>
      </w:r>
      <w:r>
        <w:rPr>
          <w:rFonts w:ascii="Arial" w:hAnsi="Arial" w:eastAsia="Calibri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  <w:highlight w:val="none"/>
        </w:rPr>
      </w:pPr>
      <w:r>
        <w:rPr>
          <w:rFonts w:ascii="Arial" w:hAnsi="Arial" w:eastAsia="Calibri" w:cs="Arial"/>
          <w:color w:val="000000" w:themeColor="text1"/>
          <w:highlight w:val="none"/>
        </w:rPr>
        <w:t xml:space="preserve">Souběžně s vnitřními úpravami bude prováděna výstavba výtahové šachty a instalace výtahu včetně úpravy přístupových tras k výtahu.</w:t>
      </w:r>
      <w:r>
        <w:rPr>
          <w:rFonts w:ascii="Arial" w:hAnsi="Arial" w:eastAsia="Calibri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</w:p>
    <w:p>
      <w:pPr>
        <w:pBdr/>
        <w:spacing/>
        <w:ind/>
        <w:rPr>
          <w:rFonts w:ascii="Arial" w:hAnsi="Arial" w:cs="Arial"/>
          <w:color w:val="0070c0"/>
        </w:rPr>
      </w:pPr>
      <w:r>
        <w:rPr>
          <w:rFonts w:ascii="Arial" w:hAnsi="Arial" w:eastAsia="Calibri" w:cs="Arial"/>
          <w:color w:val="0070c0"/>
          <w:highlight w:val="none"/>
        </w:rPr>
      </w:r>
      <w:r>
        <w:rPr>
          <w:rFonts w:ascii="Arial" w:hAnsi="Arial" w:eastAsia="Calibri" w:cs="Arial"/>
          <w:color w:val="0070c0"/>
          <w:highlight w:val="none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 w:val="0"/>
          <w:color w:val="000000" w:themeColor="text1"/>
          <w14:ligatures w14:val="none"/>
        </w:rPr>
      </w:pPr>
      <w:r>
        <w:rPr>
          <w:b/>
          <w:bCs/>
        </w:rPr>
      </w:r>
      <w:bookmarkStart w:id="15" w:name="_Toc265248277"/>
      <w:r>
        <w:rPr>
          <w:b/>
          <w:bCs/>
        </w:rPr>
      </w:r>
      <w:bookmarkStart w:id="16" w:name="_Toc274900905"/>
      <w:r>
        <w:rPr>
          <w:b/>
          <w:bCs/>
        </w:rPr>
        <w:t xml:space="preserve">Oplocení  staveniště</w:t>
      </w:r>
      <w:bookmarkEnd w:id="15"/>
      <w:r>
        <w:rPr>
          <w:b/>
          <w:bCs/>
        </w:rPr>
      </w:r>
      <w:bookmarkEnd w:id="16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</w:rPr>
      </w:pPr>
      <w:r>
        <w:rPr>
          <w:rFonts w:ascii="Arial" w:hAnsi="Arial" w:eastAsia="Calibri" w:cs="Arial"/>
          <w:color w:val="000000" w:themeColor="text1"/>
        </w:rPr>
        <w:t xml:space="preserve">Staveniště umístěné na pozemku školy a prostory staveniště s dočasným záborem v ulici Bezručova bude oploceno staveništním plotem, nebo </w:t>
      </w:r>
      <w:r>
        <w:rPr>
          <w:rFonts w:ascii="Arial" w:hAnsi="Arial" w:eastAsia="Calibri" w:cs="Arial"/>
          <w:color w:val="000000" w:themeColor="text1"/>
        </w:rPr>
        <w:t xml:space="preserve">přenosnými mobilními zástěn</w:t>
      </w:r>
      <w:r>
        <w:rPr>
          <w:rFonts w:ascii="Arial" w:hAnsi="Arial" w:eastAsia="Calibri" w:cs="Arial"/>
          <w:color w:val="000000" w:themeColor="text1"/>
        </w:rPr>
        <w:t xml:space="preserve">a</w:t>
      </w:r>
      <w:r>
        <w:rPr>
          <w:rFonts w:ascii="Arial" w:hAnsi="Arial" w:eastAsia="Calibri" w:cs="Arial"/>
          <w:color w:val="000000" w:themeColor="text1"/>
        </w:rPr>
        <w:t xml:space="preserve">mi, výšky min. 1,8m opatřené neprůhlednou výplní plotu z důvodu minimalizace znečištění okolí. Přístup do oplocení bude zajištěno zamykatelnými branami. </w:t>
      </w:r>
      <w:r>
        <w:rPr>
          <w:rFonts w:ascii="Arial" w:hAnsi="Arial" w:eastAsia="Calibri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</w:rPr>
      </w:r>
    </w:p>
    <w:p>
      <w:pPr>
        <w:pBdr/>
        <w:spacing/>
        <w:ind/>
        <w:rPr>
          <w:rFonts w:ascii="Arial" w:hAnsi="Arial" w:eastAsia="Calibri" w:cs="Arial"/>
          <w:color w:val="0070c0"/>
        </w:rPr>
      </w:pPr>
      <w:r>
        <w:rPr>
          <w:rFonts w:ascii="Arial" w:hAnsi="Arial" w:eastAsia="Calibri" w:cs="Arial"/>
          <w:color w:val="0070c0"/>
          <w:highlight w:val="none"/>
        </w:rPr>
      </w:r>
      <w:r>
        <w:rPr>
          <w:rFonts w:ascii="Arial" w:hAnsi="Arial" w:eastAsia="Calibri" w:cs="Arial"/>
          <w:color w:val="0070c0"/>
          <w:highlight w:val="none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Staveniště bude oploceno tak, aby došlo k zab</w:t>
      </w:r>
      <w:r>
        <w:rPr>
          <w:rFonts w:cs="Arial"/>
        </w:rPr>
        <w:t xml:space="preserve">ránění vstupu nepovolaným osobám. Pokud budou prováděny práce, které se budou týkat stávajících inženýrských sítí, kde je třeba dodržet normové vzdálenosti výkopů v jejich okolí, případně provést taková opatření, aby nedošlo k poškození inženýrských sítí. 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Bude zajištěno čištění vozovek vnitroareálových i veřejných především v průběhu zemních prací účinnou technikou.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line="240" w:lineRule="auto"/>
        <w:ind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highlight w:val="none"/>
        </w:rPr>
      </w:r>
      <w:r>
        <w:rPr>
          <w:rFonts w:ascii="Arial" w:hAnsi="Arial" w:cs="Arial"/>
          <w:color w:val="0070c0"/>
          <w:highlight w:val="none"/>
        </w:rPr>
      </w:r>
    </w:p>
    <w:p>
      <w:pPr>
        <w:pBdr/>
        <w:spacing w:line="240" w:lineRule="auto"/>
        <w:ind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color w:val="000000" w:themeColor="text1"/>
          <w:u w:val="single"/>
          <w14:ligatures w14:val="none"/>
        </w:rPr>
      </w:pPr>
      <w:r>
        <w:rPr>
          <w:b/>
          <w:bCs/>
        </w:rPr>
      </w:r>
      <w:bookmarkStart w:id="17" w:name="_Toc265248278"/>
      <w:r>
        <w:rPr>
          <w:b/>
          <w:bCs/>
        </w:rPr>
        <w:t xml:space="preserve">Deponie a mezideponie</w:t>
      </w:r>
      <w:bookmarkEnd w:id="17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Neobsazeno – jedná se o stavební úpravy vnitřních prostor. 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Vybouraný materiál bude</w:t>
      </w:r>
      <w:r>
        <w:rPr>
          <w:rFonts w:ascii="Arial" w:hAnsi="Arial" w:cs="Arial"/>
          <w:color w:val="000000" w:themeColor="text1"/>
        </w:rPr>
        <w:t xml:space="preserve"> ukl</w:t>
      </w:r>
      <w:r>
        <w:rPr>
          <w:rFonts w:ascii="Arial" w:hAnsi="Arial" w:cs="Arial"/>
          <w:color w:val="000000" w:themeColor="text1"/>
        </w:rPr>
        <w:t xml:space="preserve">á</w:t>
      </w:r>
      <w:r>
        <w:rPr>
          <w:rFonts w:ascii="Arial" w:hAnsi="Arial" w:cs="Arial"/>
          <w:color w:val="000000" w:themeColor="text1"/>
        </w:rPr>
        <w:t xml:space="preserve">dán do přistavěného kontejneru a</w:t>
      </w:r>
      <w:r>
        <w:rPr>
          <w:rFonts w:ascii="Arial" w:hAnsi="Arial" w:cs="Arial"/>
          <w:color w:val="000000" w:themeColor="text1"/>
        </w:rPr>
        <w:t xml:space="preserve"> ihned odvážen na veřejnou skládku. </w:t>
      </w:r>
      <w:r>
        <w:rPr>
          <w:rFonts w:ascii="Arial" w:hAnsi="Arial" w:cs="Arial"/>
          <w:color w:val="000000" w:themeColor="text1"/>
        </w:rPr>
        <w:t xml:space="preserve">Tento kontejner bude přistavován na pozemek školy pro případ realizace výtahu, pro realizaci vnitřních úprav v objektu bude umístěn kontejner na parkovišti před budovou v ulici Bezručova. </w:t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cs="Arial"/>
          <w:color w:val="000000" w:themeColor="text1"/>
          <w:highlight w:val="none"/>
        </w:rPr>
      </w:pPr>
      <w:r>
        <w:rPr>
          <w:rFonts w:ascii="Arial" w:hAnsi="Arial" w:cs="Arial"/>
          <w:color w:val="000000" w:themeColor="text1"/>
        </w:rPr>
        <w:t xml:space="preserve">Doprava materiálu k přistavěnému kontejneru bude prováděna pomocí stav</w:t>
      </w:r>
      <w:r>
        <w:rPr>
          <w:rFonts w:ascii="Arial" w:hAnsi="Arial" w:cs="Arial"/>
          <w:color w:val="000000" w:themeColor="text1"/>
        </w:rPr>
        <w:t xml:space="preserve">e</w:t>
      </w:r>
      <w:r>
        <w:rPr>
          <w:rFonts w:ascii="Arial" w:hAnsi="Arial" w:cs="Arial"/>
          <w:color w:val="000000" w:themeColor="text1"/>
        </w:rPr>
        <w:t xml:space="preserve">ništních koleček. </w:t>
      </w:r>
      <w:r>
        <w:rPr>
          <w:rFonts w:ascii="Arial" w:hAnsi="Arial" w:cs="Arial"/>
          <w:color w:val="000000" w:themeColor="text1"/>
          <w:highlight w:val="none"/>
        </w:rPr>
      </w:r>
      <w:r>
        <w:rPr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highlight w:val="none"/>
        </w:rPr>
      </w:r>
      <w:r>
        <w:rPr>
          <w:rFonts w:ascii="Arial" w:hAnsi="Arial" w:cs="Arial"/>
          <w:color w:val="0070c0"/>
          <w:highlight w:val="none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/>
          <w:bCs/>
          <w:u w:val="single"/>
          <w14:ligatures w14:val="none"/>
        </w:rPr>
      </w:pPr>
      <w:r>
        <w:rPr>
          <w:b/>
          <w:bCs/>
        </w:rPr>
      </w:r>
      <w:bookmarkStart w:id="18" w:name="_Toc265248279"/>
      <w:r>
        <w:rPr>
          <w:b/>
          <w:bCs/>
        </w:rPr>
        <w:t xml:space="preserve">Příjezdy a přístupy na staveniště</w:t>
      </w:r>
      <w:bookmarkEnd w:id="18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  <w:highlight w:val="none"/>
        </w:rPr>
      </w:pPr>
      <w:r>
        <w:rPr>
          <w:rFonts w:ascii="Arial" w:hAnsi="Arial" w:eastAsia="Calibri" w:cs="Arial"/>
          <w:color w:val="000000" w:themeColor="text1"/>
          <w:highlight w:val="none"/>
        </w:rPr>
      </w:r>
      <w:r>
        <w:rPr>
          <w:rFonts w:ascii="Arial" w:hAnsi="Arial" w:eastAsia="Calibri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  <w:highlight w:val="none"/>
        </w:rPr>
      </w:pPr>
      <w:r>
        <w:rPr>
          <w:rFonts w:ascii="Arial" w:hAnsi="Arial" w:eastAsia="Calibri" w:cs="Arial"/>
          <w:color w:val="000000" w:themeColor="text1"/>
        </w:rPr>
        <w:t xml:space="preserve">Příjezd </w:t>
      </w:r>
      <w:r>
        <w:rPr>
          <w:rFonts w:ascii="Arial" w:hAnsi="Arial" w:eastAsia="Calibri" w:cs="Arial"/>
          <w:color w:val="000000" w:themeColor="text1"/>
        </w:rPr>
        <w:t xml:space="preserve">(</w:t>
      </w:r>
      <w:r>
        <w:rPr>
          <w:rFonts w:ascii="Arial" w:hAnsi="Arial" w:eastAsia="Calibri" w:cs="Arial"/>
          <w:color w:val="000000" w:themeColor="text1"/>
        </w:rPr>
        <w:t xml:space="preserve">a odjezd</w:t>
      </w:r>
      <w:r>
        <w:rPr>
          <w:rFonts w:ascii="Arial" w:hAnsi="Arial" w:eastAsia="Calibri" w:cs="Arial"/>
          <w:color w:val="000000" w:themeColor="text1"/>
        </w:rPr>
        <w:t xml:space="preserve">)</w:t>
      </w:r>
      <w:r>
        <w:rPr>
          <w:rFonts w:ascii="Arial" w:hAnsi="Arial" w:eastAsia="Calibri" w:cs="Arial"/>
          <w:color w:val="000000" w:themeColor="text1"/>
        </w:rPr>
        <w:t xml:space="preserve"> na </w:t>
      </w:r>
      <w:r>
        <w:rPr>
          <w:rFonts w:ascii="Arial" w:hAnsi="Arial" w:eastAsia="Calibri" w:cs="Arial"/>
          <w:color w:val="000000" w:themeColor="text1"/>
        </w:rPr>
        <w:t xml:space="preserve">pozemek areálu školy </w:t>
      </w:r>
      <w:r>
        <w:rPr>
          <w:rFonts w:ascii="Arial" w:hAnsi="Arial" w:eastAsia="Calibri" w:cs="Arial"/>
          <w:color w:val="000000" w:themeColor="text1"/>
        </w:rPr>
        <w:t xml:space="preserve">a k vlastnímu staveništi </w:t>
      </w:r>
      <w:r>
        <w:rPr>
          <w:rFonts w:ascii="Arial" w:hAnsi="Arial" w:eastAsia="Calibri" w:cs="Arial"/>
          <w:color w:val="000000" w:themeColor="text1"/>
        </w:rPr>
        <w:t xml:space="preserve">jako i př</w:t>
      </w:r>
      <w:r>
        <w:rPr>
          <w:rFonts w:ascii="Arial" w:hAnsi="Arial" w:eastAsia="Calibri" w:cs="Arial"/>
          <w:color w:val="000000" w:themeColor="text1"/>
        </w:rPr>
        <w:t xml:space="preserve">í</w:t>
      </w:r>
      <w:r>
        <w:rPr>
          <w:rFonts w:ascii="Arial" w:hAnsi="Arial" w:eastAsia="Calibri" w:cs="Arial"/>
          <w:color w:val="000000" w:themeColor="text1"/>
        </w:rPr>
        <w:t xml:space="preserve">stup zaměstnanců stavby je umožněn pouze stávajícím vjezdem na pozemek z ulice Ondříčkova. </w:t>
      </w:r>
      <w:r>
        <w:rPr>
          <w:rFonts w:ascii="Arial" w:hAnsi="Arial" w:eastAsia="Calibri" w:cs="Arial"/>
          <w:color w:val="000000" w:themeColor="text1"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</w:rPr>
      </w:pPr>
      <w:r>
        <w:rPr>
          <w:rFonts w:ascii="Arial" w:hAnsi="Arial" w:eastAsia="Calibri" w:cs="Arial"/>
          <w:color w:val="000000" w:themeColor="text1"/>
        </w:rPr>
        <w:t xml:space="preserve">Tímto vjezdem umožňuje vjezd osobním vozům a menším </w:t>
      </w:r>
      <w:r>
        <w:rPr>
          <w:rFonts w:ascii="Arial" w:hAnsi="Arial" w:eastAsia="Calibri" w:cs="Arial"/>
          <w:color w:val="000000" w:themeColor="text1"/>
        </w:rPr>
        <w:t xml:space="preserve">nákladním automobilům bude především zajišťována realizace výtahu</w:t>
      </w:r>
      <w:r>
        <w:rPr>
          <w:rFonts w:ascii="Arial" w:hAnsi="Arial" w:eastAsia="Calibri" w:cs="Arial"/>
          <w:color w:val="000000" w:themeColor="text1"/>
        </w:rPr>
        <w:t xml:space="preserve">. Vnitřní úpravy v budově budou obsluhovány hlavním vstupem do objektu z ulice Bezručova.  </w:t>
      </w:r>
      <w:r>
        <w:rPr>
          <w:rFonts w:ascii="Arial" w:hAnsi="Arial" w:eastAsia="Calibri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  <w:highlight w:val="none"/>
        </w:rPr>
      </w:pPr>
      <w:r>
        <w:rPr>
          <w:rFonts w:ascii="Arial" w:hAnsi="Arial" w:eastAsia="Calibri" w:cs="Arial"/>
          <w:color w:val="000000" w:themeColor="text1"/>
          <w:highlight w:val="none"/>
        </w:rPr>
        <w:t xml:space="preserve">Z ulice Bezručova bude také zajištěn příjezd betonářských vozidel zajišťující betonovou směs a čerpání betonu při realizaci výtahu.</w:t>
      </w:r>
      <w:r>
        <w:rPr>
          <w:rFonts w:ascii="Arial" w:hAnsi="Arial" w:eastAsia="Calibri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eastAsia="Calibri" w:cs="Arial"/>
          <w:color w:val="000000" w:themeColor="text1"/>
          <w:highlight w:val="none"/>
        </w:rPr>
      </w:pPr>
      <w:r>
        <w:rPr>
          <w:rFonts w:ascii="Arial" w:hAnsi="Arial" w:eastAsia="Calibri" w:cs="Arial"/>
          <w:color w:val="000000" w:themeColor="text1"/>
          <w:highlight w:val="none"/>
        </w:rPr>
      </w:r>
      <w:r>
        <w:rPr>
          <w:rFonts w:ascii="Arial" w:hAnsi="Arial" w:eastAsia="Calibri" w:cs="Arial"/>
          <w:color w:val="000000" w:themeColor="text1"/>
          <w:highlight w:val="none"/>
        </w:rPr>
      </w:r>
    </w:p>
    <w:p>
      <w:pPr>
        <w:pBdr/>
        <w:spacing/>
        <w:ind/>
        <w:rPr>
          <w:rFonts w:ascii="Arial" w:hAnsi="Arial" w:eastAsia="Calibri" w:cs="Arial"/>
          <w:color w:val="0070c0" w:themeColor="text1"/>
        </w:rPr>
      </w:pPr>
      <w:r>
        <w:rPr>
          <w:rFonts w:ascii="Arial" w:hAnsi="Arial" w:eastAsia="Calibri" w:cs="Arial"/>
          <w:color w:val="000000" w:themeColor="text1"/>
        </w:rPr>
        <w:t xml:space="preserve">Nákladní automobily dodavatele musí respektovat stav použitých komunikací </w:t>
      </w:r>
      <w:r>
        <w:rPr>
          <w:rFonts w:ascii="Arial" w:hAnsi="Arial" w:eastAsia="Calibri" w:cs="Arial"/>
          <w:color w:val="000000" w:themeColor="text1"/>
        </w:rPr>
        <w:t xml:space="preserve">a provoz </w:t>
      </w:r>
      <w:r>
        <w:rPr>
          <w:rFonts w:ascii="Arial" w:hAnsi="Arial" w:eastAsia="Calibri" w:cs="Arial"/>
          <w:color w:val="000000" w:themeColor="text1"/>
        </w:rPr>
        <w:t xml:space="preserve">(tonáž,</w:t>
      </w:r>
      <w:r>
        <w:rPr>
          <w:rFonts w:ascii="Arial" w:hAnsi="Arial" w:eastAsia="Calibri" w:cs="Arial"/>
          <w:color w:val="000000" w:themeColor="text1"/>
        </w:rPr>
        <w:t xml:space="preserve"> </w:t>
      </w:r>
      <w:r>
        <w:rPr>
          <w:rFonts w:ascii="Arial" w:hAnsi="Arial" w:eastAsia="Calibri" w:cs="Arial"/>
          <w:color w:val="000000" w:themeColor="text1"/>
        </w:rPr>
        <w:t xml:space="preserve">rychlost, dopravní značení </w:t>
      </w:r>
      <w:r>
        <w:rPr>
          <w:rFonts w:ascii="Arial" w:hAnsi="Arial" w:eastAsia="Calibri" w:cs="Arial"/>
          <w:color w:val="000000" w:themeColor="text1"/>
        </w:rPr>
        <w:t xml:space="preserve">atd. </w:t>
      </w:r>
      <w:r>
        <w:rPr>
          <w:rFonts w:ascii="Arial" w:hAnsi="Arial" w:eastAsia="Calibri" w:cs="Arial"/>
          <w:color w:val="000000" w:themeColor="text1"/>
        </w:rPr>
        <w:t xml:space="preserve">včetně ochrany st</w:t>
      </w:r>
      <w:r>
        <w:rPr>
          <w:rFonts w:ascii="Arial" w:hAnsi="Arial" w:eastAsia="Calibri" w:cs="Arial"/>
          <w:color w:val="000000" w:themeColor="text1"/>
        </w:rPr>
        <w:t xml:space="preserve">á</w:t>
      </w:r>
      <w:r>
        <w:rPr>
          <w:rFonts w:ascii="Arial" w:hAnsi="Arial" w:eastAsia="Calibri" w:cs="Arial"/>
          <w:color w:val="000000" w:themeColor="text1"/>
        </w:rPr>
        <w:t xml:space="preserve">vající zeleně</w:t>
      </w:r>
      <w:r>
        <w:rPr>
          <w:rFonts w:ascii="Arial" w:hAnsi="Arial" w:eastAsia="Calibri" w:cs="Arial"/>
          <w:color w:val="000000" w:themeColor="text1"/>
        </w:rPr>
        <w:t xml:space="preserve">).</w:t>
      </w:r>
      <w:r>
        <w:rPr>
          <w:rFonts w:ascii="Arial" w:hAnsi="Arial" w:eastAsia="Calibri" w:cs="Arial"/>
          <w:color w:val="000000" w:themeColor="text1"/>
        </w:rPr>
      </w:r>
      <w:r>
        <w:rPr>
          <w:rFonts w:ascii="Arial" w:hAnsi="Arial" w:eastAsia="Calibri" w:cs="Arial"/>
          <w:color w:val="000000" w:themeColor="text1"/>
        </w:rPr>
      </w:r>
    </w:p>
    <w:p>
      <w:pPr>
        <w:pBdr/>
        <w:spacing/>
        <w:ind/>
        <w:rPr>
          <w:rFonts w:ascii="Arial" w:hAnsi="Arial" w:eastAsia="Calibri" w:cs="Arial"/>
          <w:color w:val="0070c0"/>
        </w:rPr>
      </w:pPr>
      <w:r>
        <w:rPr>
          <w:rFonts w:ascii="Arial" w:hAnsi="Arial" w:eastAsia="Calibri" w:cs="Arial"/>
          <w:color w:val="0070c0"/>
        </w:rPr>
      </w:r>
      <w:r>
        <w:rPr>
          <w:rFonts w:ascii="Arial" w:hAnsi="Arial" w:eastAsia="Calibri" w:cs="Arial"/>
          <w:color w:val="0070c0"/>
        </w:rPr>
      </w:r>
    </w:p>
    <w:p>
      <w:pPr>
        <w:pBdr/>
        <w:spacing/>
        <w:ind/>
        <w:jc w:val="both"/>
        <w:rPr/>
      </w:pPr>
      <w:r>
        <w:t xml:space="preserve">Z důvodu vyšší koncentrace pohybů staveništní techniky na přilehlém úseku stávající místní komunikace (ul. </w:t>
      </w:r>
      <w:r>
        <w:t xml:space="preserve">Ondříčkova</w:t>
      </w:r>
      <w:r>
        <w:t xml:space="preserve">) bude provoz řešen (usměrněn) odpovídajícím přechodným svislým dopravním značením. Jedná se zejména o schéma B/3 dle TP 66 MD ČR upravené vzhledem k místním stísněným podmínkám spolu s instalací SDZ upozorňující na zvýšenou koncentra</w:t>
      </w:r>
      <w:r>
        <w:t xml:space="preserve">ci dopravních pohybů na MK. Dopravní značení bude z hlediska bočního a výškového umístěno v souladu se zmíněným TP, zejména jsou nutné dodržet dostatečné rozestupy značek a jejích umístění při zachování rozhledových poměrů stávajícího vjezdu na staveniště.</w:t>
      </w:r>
      <w:r/>
      <w:r/>
      <w:r>
        <w:rPr>
          <w:rFonts w:ascii="Arial" w:hAnsi="Arial" w:eastAsia="Calibri" w:cs="Arial"/>
          <w:color w:val="0070c0"/>
        </w:rPr>
      </w:r>
      <w:r>
        <w:rPr>
          <w:rFonts w:ascii="Arial" w:hAnsi="Arial" w:eastAsia="Calibri" w:cs="Arial"/>
          <w:color w:val="0070c0"/>
        </w:rPr>
      </w:r>
      <w:r/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  <w:r/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color w:val="000000" w:themeColor="text1"/>
          <w:sz w:val="22"/>
          <w:szCs w:val="22"/>
          <w14:ligatures w14:val="none"/>
        </w:rPr>
      </w:pPr>
      <w:r>
        <w:rPr>
          <w:b/>
          <w:bCs/>
        </w:rPr>
      </w:r>
      <w:bookmarkStart w:id="20" w:name="_Toc274900907"/>
      <w:r>
        <w:rPr>
          <w:b/>
          <w:bCs/>
        </w:rPr>
        <w:t xml:space="preserve">napojení staveniště na zdroje vody, elektřiny, odvodnění staveniště apod.</w:t>
      </w:r>
      <w:bookmarkEnd w:id="20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Prostor staveniště nebude vyžadovat  nové přípojky energií. </w:t>
      </w:r>
      <w:bookmarkStart w:id="21" w:name="_Toc265248288"/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Požadovaný staveništní odběr vody vč. protipožárního zabezpečení, odběr el. energie po dobu výstavby bude možno řešit provizorním připojením na stávající </w:t>
      </w:r>
      <w:r>
        <w:rPr>
          <w:rFonts w:ascii="Arial" w:hAnsi="Arial" w:cs="Arial"/>
          <w:color w:val="000000" w:themeColor="text1"/>
        </w:rPr>
        <w:t xml:space="preserve">rozvody školy.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color w:val="0070c0"/>
        </w:rPr>
      </w:pPr>
      <w:r>
        <w:rPr>
          <w:color w:val="0070c0"/>
          <w:highlight w:val="none"/>
        </w:rPr>
      </w:r>
      <w:r>
        <w:rPr>
          <w:color w:val="0070c0"/>
          <w:highlight w:val="none"/>
        </w:rPr>
      </w:r>
    </w:p>
    <w:p>
      <w:pPr>
        <w:pStyle w:val="816"/>
        <w:numPr>
          <w:ilvl w:val="0"/>
          <w:numId w:val="68"/>
        </w:numPr>
        <w:pBdr/>
        <w:spacing/>
        <w:ind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Na severní štítové stěně je umís</w:t>
      </w:r>
      <w:r>
        <w:rPr>
          <w:rFonts w:ascii="Arial" w:hAnsi="Arial" w:cs="Arial"/>
          <w:color w:val="000000" w:themeColor="text1"/>
        </w:rPr>
        <w:t xml:space="preserve">těna elektrická připojovací skříň, do které jsou jsou vedeny stávající elktro kabely, které misí být před realizací stavebních prací vytyčeny správcem sítě a práce v jejich okolí musí být prováděny podle požadavků na provádění prací v ochranném pásmu NN.  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Style w:val="816"/>
        <w:numPr>
          <w:ilvl w:val="0"/>
          <w:numId w:val="68"/>
        </w:numPr>
        <w:pBdr/>
        <w:spacing/>
        <w:ind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highlight w:val="none"/>
        </w:rPr>
        <w:t xml:space="preserve">Z ulice Ondříčkova je k objektu školy vedeno potrubí vodovodu a kanalizace.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Style w:val="816"/>
        <w:numPr>
          <w:ilvl w:val="0"/>
          <w:numId w:val="68"/>
        </w:numPr>
        <w:pBdr/>
        <w:spacing/>
        <w:ind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highlight w:val="none"/>
        </w:rPr>
        <w:t xml:space="preserve">V místě stávajících dešťových svodů jsou umístěny trubky dešťové kanalizace, které je potřeba při realizaci respektovat, případně dle potřeby vyměnit.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70c0"/>
          <w:szCs w:val="21"/>
        </w:rPr>
      </w:pPr>
      <w:r>
        <w:rPr>
          <w:rFonts w:ascii="Arial" w:hAnsi="Arial" w:cs="Arial"/>
          <w:color w:val="0070c0"/>
          <w:szCs w:val="21"/>
        </w:rPr>
      </w:r>
      <w:bookmarkEnd w:id="24"/>
      <w:r>
        <w:rPr>
          <w:rFonts w:ascii="Arial" w:hAnsi="Arial" w:cs="Arial"/>
          <w:color w:val="0070c0"/>
          <w:szCs w:val="21"/>
        </w:rPr>
      </w:r>
      <w:r>
        <w:rPr>
          <w:rFonts w:ascii="Arial" w:hAnsi="Arial" w:cs="Arial"/>
          <w:color w:val="0070c0"/>
          <w:szCs w:val="2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Odběrná místa vody, napojení přípojky pro staveništní odběr a odvodnění staveniště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včetně projednání podmínek užívání a úhrady si zajistí zhotovitel stavby v rámci dodávky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  <w:highlight w:val="none"/>
        </w:rPr>
      </w:pPr>
      <w:r>
        <w:rPr>
          <w:rFonts w:ascii="Arial" w:hAnsi="Arial" w:cs="Arial"/>
          <w:color w:val="000000" w:themeColor="text1"/>
        </w:rPr>
        <w:t xml:space="preserve">stavby.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jc w:val="both"/>
        <w:rPr>
          <w:b/>
          <w:u w:val="single"/>
        </w:rPr>
      </w:pPr>
      <w:r>
        <w:rPr>
          <w:b/>
          <w:u w:val="single"/>
        </w:rPr>
        <w:t xml:space="preserve">Potřeby a spotřeby rozhodujících médií a hmot pro staveniště, jejich zajištění</w:t>
      </w:r>
      <w:r>
        <w:rPr>
          <w:b/>
          <w:u w:val="single"/>
        </w:rPr>
      </w:r>
      <w:r>
        <w:rPr>
          <w:b/>
          <w:u w:val="single"/>
        </w:rPr>
      </w:r>
    </w:p>
    <w:p>
      <w:pPr>
        <w:pBdr/>
        <w:spacing/>
        <w:ind/>
        <w:jc w:val="both"/>
        <w:rPr>
          <w:b/>
          <w:bCs/>
        </w:rPr>
      </w:pPr>
      <w:r>
        <w:rPr>
          <w:b/>
          <w:bCs/>
        </w:rPr>
        <w:t xml:space="preserve">Bilance spotřeby vody:</w:t>
      </w:r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Předpokládaná potřeba vody pro sociální účely během výstavby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- administrativní pracovníci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60</w:t>
      </w:r>
      <w:r>
        <w:rPr>
          <w:rFonts w:cs="Arial"/>
        </w:rPr>
        <w:t xml:space="preserve"> l/</w:t>
      </w:r>
      <w:r>
        <w:rPr>
          <w:rFonts w:cs="Arial"/>
        </w:rPr>
        <w:t xml:space="preserve">os.den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- stavební pracovníci – mytí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100 l/</w:t>
      </w:r>
      <w:r>
        <w:rPr>
          <w:rFonts w:cs="Arial"/>
        </w:rPr>
        <w:t xml:space="preserve">os.den</w:t>
      </w:r>
      <w:r>
        <w:rPr>
          <w:rFonts w:cs="Arial"/>
        </w:rPr>
        <w:t xml:space="preserve"> (prašný a špinavý provoz).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Denní spotřebu vody během výstavby lze očekávat na úrovni nejvýše 5,0 m</w:t>
      </w:r>
      <w:r>
        <w:rPr>
          <w:rFonts w:cs="Arial"/>
          <w:vertAlign w:val="superscript"/>
        </w:rPr>
        <w:t xml:space="preserve">3</w:t>
      </w:r>
      <w:r>
        <w:rPr>
          <w:rFonts w:cs="Arial"/>
        </w:rPr>
        <w:t xml:space="preserve">/den a celkovou spotřebu vody během výstavby na úrovni na cca 1 825 m</w:t>
      </w:r>
      <w:r>
        <w:rPr>
          <w:rFonts w:cs="Arial"/>
          <w:vertAlign w:val="superscript"/>
        </w:rPr>
        <w:t xml:space="preserve">3</w:t>
      </w:r>
      <w:r>
        <w:rPr>
          <w:rFonts w:cs="Arial"/>
        </w:rPr>
        <w:t xml:space="preserve">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jc w:val="both"/>
        <w:rPr>
          <w:b/>
          <w:bCs/>
        </w:rPr>
      </w:pPr>
      <w:r>
        <w:rPr>
          <w:b/>
          <w:bCs/>
        </w:rPr>
        <w:t xml:space="preserve">Energetická bilance:</w:t>
      </w:r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jc w:val="both"/>
        <w:rPr>
          <w:rFonts w:cs="Arial"/>
          <w:i/>
        </w:rPr>
      </w:pPr>
      <w:r>
        <w:rPr>
          <w:rFonts w:cs="Arial"/>
          <w:i/>
        </w:rPr>
        <w:t xml:space="preserve">Zařízení stavby </w:t>
      </w:r>
      <w:r>
        <w:rPr>
          <w:rFonts w:cs="Arial"/>
          <w:i/>
        </w:rPr>
      </w:r>
      <w:r>
        <w:rPr>
          <w:rFonts w:cs="Arial"/>
          <w:i/>
        </w:rPr>
      </w:r>
    </w:p>
    <w:p>
      <w:pPr>
        <w:pBdr/>
        <w:spacing/>
        <w:ind w:firstLine="720"/>
        <w:jc w:val="both"/>
        <w:rPr>
          <w:rFonts w:cs="Arial"/>
          <w:b/>
        </w:rPr>
      </w:pPr>
      <w:r>
        <w:rPr>
          <w:rFonts w:cs="Arial"/>
          <w:b/>
        </w:rPr>
        <w:t xml:space="preserve">Druh spotřeby: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</w:t>
      </w:r>
      <w:r>
        <w:rPr>
          <w:rFonts w:cs="Arial"/>
          <w:b/>
        </w:rPr>
        <w:tab/>
      </w:r>
      <w:r>
        <w:rPr>
          <w:rFonts w:cs="Arial"/>
          <w:b/>
        </w:rPr>
        <w:t xml:space="preserve">Pi</w:t>
      </w:r>
      <w:r>
        <w:rPr>
          <w:rFonts w:cs="Arial"/>
          <w:b/>
        </w:rPr>
      </w:r>
      <w:r>
        <w:rPr>
          <w:rFonts w:cs="Arial"/>
          <w:b/>
        </w:rPr>
      </w:r>
    </w:p>
    <w:p>
      <w:pPr>
        <w:pBdr/>
        <w:spacing/>
        <w:ind w:firstLine="720"/>
        <w:jc w:val="both"/>
        <w:rPr>
          <w:rFonts w:cs="Arial"/>
        </w:rPr>
      </w:pPr>
      <w:r>
        <w:rPr>
          <w:rFonts w:cs="Arial"/>
        </w:rPr>
        <w:t xml:space="preserve">venkovní osvětlení: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>
        <w:rPr>
          <w:rFonts w:cs="Arial"/>
        </w:rPr>
        <w:tab/>
        <w:t xml:space="preserve">15,0 kW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 w:firstLine="720"/>
        <w:jc w:val="both"/>
        <w:rPr>
          <w:rFonts w:cs="Arial"/>
        </w:rPr>
      </w:pPr>
      <w:r>
        <w:rPr>
          <w:rFonts w:cs="Arial"/>
        </w:rPr>
        <w:t xml:space="preserve">buňkoviště</w:t>
      </w:r>
      <w:r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30,0 kW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 w:firstLine="720"/>
        <w:jc w:val="both"/>
        <w:rPr>
          <w:rFonts w:cs="Arial"/>
        </w:rPr>
      </w:pPr>
      <w:r>
        <w:rPr>
          <w:rFonts w:cs="Arial"/>
        </w:rPr>
        <w:t xml:space="preserve">svářečky: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</w:t>
      </w:r>
      <w:r>
        <w:rPr>
          <w:rFonts w:cs="Arial"/>
        </w:rPr>
        <w:tab/>
        <w:t xml:space="preserve">   </w:t>
      </w:r>
      <w:r>
        <w:rPr>
          <w:rFonts w:cs="Arial"/>
        </w:rPr>
        <w:tab/>
        <w:t xml:space="preserve">20,0 kW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 w:firstLine="720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rezerva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  <w:t xml:space="preserve">   </w:t>
      </w:r>
      <w:r>
        <w:rPr>
          <w:rFonts w:cs="Arial"/>
          <w:u w:val="single"/>
        </w:rPr>
        <w:tab/>
        <w:t xml:space="preserve">20,0 kW</w:t>
      </w:r>
      <w:r>
        <w:rPr>
          <w:rFonts w:cs="Arial"/>
          <w:u w:val="single"/>
        </w:rPr>
      </w:r>
      <w:r>
        <w:rPr>
          <w:rFonts w:cs="Arial"/>
          <w:u w:val="single"/>
        </w:rPr>
      </w:r>
    </w:p>
    <w:p>
      <w:pPr>
        <w:pBdr/>
        <w:spacing/>
        <w:ind w:firstLine="720"/>
        <w:jc w:val="both"/>
        <w:rPr>
          <w:rFonts w:cs="Arial"/>
          <w:b/>
        </w:rPr>
      </w:pPr>
      <w:r>
        <w:rPr>
          <w:rFonts w:cs="Arial"/>
          <w:b/>
        </w:rPr>
        <w:t xml:space="preserve">celkem instalovaný </w:t>
      </w:r>
      <w:r>
        <w:rPr>
          <w:rFonts w:cs="Arial"/>
          <w:b/>
        </w:rPr>
        <w:t xml:space="preserve">příkon:  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85 kW</w:t>
      </w:r>
      <w:r>
        <w:rPr>
          <w:rFonts w:cs="Arial"/>
          <w:b/>
        </w:rPr>
      </w:r>
      <w:r>
        <w:rPr>
          <w:rFonts w:cs="Arial"/>
          <w:b/>
        </w:rPr>
      </w:r>
    </w:p>
    <w:p>
      <w:pPr>
        <w:pBdr/>
        <w:spacing/>
        <w:ind w:firstLine="720"/>
        <w:jc w:val="both"/>
        <w:rPr>
          <w:rFonts w:cs="Arial"/>
        </w:rPr>
      </w:pPr>
      <w:r>
        <w:rPr>
          <w:rFonts w:cs="Arial"/>
        </w:rPr>
        <w:t xml:space="preserve">soudobost: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0,8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 w:firstLine="720"/>
        <w:jc w:val="both"/>
        <w:rPr>
          <w:rFonts w:cs="Arial"/>
          <w:b/>
        </w:rPr>
      </w:pPr>
      <w:r>
        <w:rPr>
          <w:rFonts w:cs="Arial"/>
          <w:b/>
        </w:rPr>
        <w:t xml:space="preserve">celkem soudobý příkon: </w:t>
      </w:r>
      <w:r>
        <w:rPr>
          <w:rFonts w:cs="Arial"/>
          <w:b/>
        </w:rPr>
        <w:tab/>
        <w:t xml:space="preserve">           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68,0 kW</w:t>
      </w:r>
      <w:r>
        <w:rPr>
          <w:rFonts w:cs="Arial"/>
          <w:b/>
        </w:rPr>
      </w:r>
      <w:r>
        <w:rPr>
          <w:rFonts w:cs="Arial"/>
          <w:b/>
        </w:rPr>
      </w:r>
    </w:p>
    <w:p>
      <w:pPr>
        <w:pBdr/>
        <w:spacing/>
        <w:ind/>
        <w:jc w:val="both"/>
        <w:rPr/>
      </w:pPr>
      <w:r/>
      <w:r/>
      <w:r/>
    </w:p>
    <w:p>
      <w:pPr>
        <w:pBdr/>
        <w:spacing/>
        <w:ind/>
        <w:jc w:val="both"/>
        <w:rPr>
          <w:b/>
          <w:u w:val="single"/>
        </w:rPr>
      </w:pPr>
      <w:r/>
      <w:bookmarkStart w:id="4" w:name="_Toc39487109"/>
      <w:r>
        <w:rPr>
          <w:b/>
          <w:u w:val="single"/>
        </w:rPr>
        <w:t xml:space="preserve">Odvodnění staveniště</w:t>
      </w:r>
      <w:bookmarkEnd w:id="4"/>
      <w:r>
        <w:rPr>
          <w:b/>
          <w:u w:val="single"/>
        </w:rPr>
      </w:r>
      <w:r>
        <w:rPr>
          <w:b/>
          <w:u w:val="single"/>
        </w:rPr>
      </w:r>
    </w:p>
    <w:p>
      <w:pPr>
        <w:pBdr/>
        <w:spacing/>
        <w:ind/>
        <w:jc w:val="both"/>
        <w:rPr/>
      </w:pPr>
      <w:r>
        <w:t xml:space="preserve">WC – budou pracovníci stavby používána chemická WC.</w:t>
      </w:r>
      <w:r/>
      <w:r/>
    </w:p>
    <w:p>
      <w:pPr>
        <w:pBdr/>
        <w:spacing/>
        <w:ind/>
        <w:jc w:val="both"/>
        <w:rPr/>
      </w:pPr>
      <w:r>
        <w:t xml:space="preserve">Dešťová kanalizace bude jímána do staveništních jímek, odkud bude přečerpána a likvidována odvozem. </w:t>
      </w:r>
      <w:r/>
      <w:r/>
    </w:p>
    <w:p>
      <w:pPr>
        <w:pBdr/>
        <w:spacing w:line="240" w:lineRule="auto"/>
        <w:ind/>
        <w:rPr>
          <w:rFonts w:ascii="Arial" w:hAnsi="Arial" w:cs="Arial"/>
          <w:color w:val="000000" w:themeColor="text1"/>
          <w:highlight w:val="none"/>
        </w:rPr>
      </w:pPr>
      <w:r>
        <w:rPr>
          <w:rFonts w:ascii="Arial" w:hAnsi="Arial" w:cs="Arial"/>
          <w:color w:val="000000" w:themeColor="text1"/>
          <w:highlight w:val="none"/>
        </w:rPr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Bdr/>
        <w:spacing/>
        <w:ind/>
        <w:rPr>
          <w:color w:val="000000" w:themeColor="text1"/>
        </w:rPr>
      </w:pPr>
      <w:r>
        <w:rPr>
          <w:color w:val="000000" w:themeColor="text1"/>
        </w:rPr>
        <w:t xml:space="preserve">Trasy inženýrských sítí </w:t>
      </w:r>
      <w:r>
        <w:rPr>
          <w:color w:val="000000" w:themeColor="text1"/>
        </w:rPr>
        <w:t xml:space="preserve">jsou jsou schématicky uvedeny v koordinační situaci stavby. Před realizací stavebních prací je nutné vytyčení jednotlivých tras příslušnými správci inženýrských sítí. Veškeré práce v ochranných pásmech musí splňovat požadavky správců sítí na tyto činnosti.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highlight w:val="none"/>
        </w:rPr>
      </w:r>
      <w:r>
        <w:rPr>
          <w:rFonts w:ascii="Arial" w:hAnsi="Arial" w:cs="Arial"/>
          <w:color w:val="000000" w:themeColor="text1"/>
          <w:highlight w:val="none"/>
        </w:rPr>
      </w:r>
    </w:p>
    <w:p>
      <w:pPr>
        <w:pStyle w:val="801"/>
        <w:pBdr/>
        <w:spacing/>
        <w:ind/>
        <w:rPr>
          <w:rFonts w:ascii="Arial" w:hAnsi="Arial" w:cs="Arial"/>
          <w:color w:val="0070c0"/>
          <w:sz w:val="22"/>
          <w:szCs w:val="22"/>
          <w14:ligatures w14:val="none"/>
        </w:rPr>
      </w:pPr>
      <w:r>
        <w:rPr>
          <w:rFonts w:ascii="Arial" w:hAnsi="Arial" w:cs="Arial"/>
          <w:color w:val="0070c0"/>
          <w:sz w:val="22"/>
          <w:szCs w:val="22"/>
        </w:rPr>
      </w:r>
      <w:r>
        <w:rPr>
          <w:rFonts w:ascii="Arial" w:hAnsi="Arial" w:cs="Arial"/>
          <w:color w:val="0070c0"/>
          <w:sz w:val="22"/>
          <w:szCs w:val="22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/>
          <w:bCs/>
          <w14:ligatures w14:val="none"/>
        </w:rPr>
      </w:pPr>
      <w:r>
        <w:rPr>
          <w:b/>
          <w:bCs/>
        </w:rPr>
      </w:r>
      <w:bookmarkStart w:id="1" w:name="_Toc503946433"/>
      <w:r>
        <w:rPr>
          <w:b/>
          <w:bCs/>
        </w:rPr>
        <w:t xml:space="preserve">požadavky na zpracování plánu bezpečnosti a ochrany zdraví při práci na staveništi,</w:t>
      </w:r>
      <w:bookmarkEnd w:id="1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Bdr/>
        <w:spacing/>
        <w:ind/>
        <w:rPr>
          <w:rFonts w:cs="Arial"/>
          <w:bCs/>
        </w:rPr>
      </w:pPr>
      <w:r>
        <w:rPr>
          <w:rFonts w:cs="Arial"/>
          <w:bCs/>
        </w:rPr>
        <w:t xml:space="preserve">Dle zákona č. 309/2006 (Zákon, kterým se upravují další požadavky bezpečnosti a ochrany zdraví při práci v pracovněprávních vztazích a o zajištění bezpečnosti a ochrany zdraví při činnosti nebo poskytování slu</w:t>
      </w:r>
      <w:r>
        <w:rPr>
          <w:rFonts w:cs="Arial"/>
          <w:bCs/>
        </w:rPr>
        <w:t xml:space="preserve">žeb mimo pracovněprávní vztahy /</w:t>
      </w:r>
      <w:r>
        <w:rPr>
          <w:rFonts w:cs="Arial"/>
          <w:bCs/>
        </w:rPr>
        <w:t xml:space="preserve">zákon o zajištění dalších podmínek bezpečnosti a ochrany zdraví při práci) bude na stavbě při realizaci stanoven koordinátor BOZP a bude zpracován plán BOZP na staveništi, dle NV 591/2006 (Naří</w:t>
      </w:r>
      <w:r>
        <w:rPr>
          <w:rFonts w:cs="Arial"/>
          <w:bCs/>
        </w:rPr>
        <w:t xml:space="preserve">zení vlády o bližších minimálních požadavcích na bezpečnost a ochranu zdraví při práci na staveništích) budou zasílána oznámení o zahájení prací. Za dodržení příslušných předpisů je ve fázi výstavby odpovědný dodavatel stavby, ve fázi provozu provozovatel.</w:t>
      </w:r>
      <w:r>
        <w:rPr>
          <w:rFonts w:cs="Arial"/>
          <w:bCs/>
        </w:rPr>
      </w:r>
      <w:r>
        <w:rPr>
          <w:rFonts w:cs="Arial"/>
          <w:bCs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Za vybavení pracoviště ochrannými pomůckami odpovídá v plné míře dodavatelská organizace, stejně tak ve věci poučení a proškolení pracovníků, zajištění odborného vedení a dozoru. 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Vzájemné vztahy, závazky a povinnosti v oblasti bezpečnosti práce musí být mezi účastníky výstavby dohodnuty předem a musí být obsaženy v zápise o odevzdání staveniště, pokud již nejsou stanoveny ve smlouvě o dílo.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  <w:color w:val="ff0000"/>
        </w:rPr>
      </w:pPr>
      <w:r>
        <w:rPr>
          <w:rFonts w:cs="Arial"/>
        </w:rPr>
        <w:t xml:space="preserve">Zhotovitel prací je povinen při stavebně – technologické přípravě vytvořit podmínky k zajištění bezpečnosti práce a provozu na stavbě i bezpečnosti uživatele přilehlých vnitrozávodních komunikací, pozemků a budov.</w:t>
      </w:r>
      <w:r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</w:r>
      <w:r>
        <w:rPr>
          <w:rFonts w:cs="Arial"/>
          <w:color w:val="ff0000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Pro každé pracoviště musí být vypracován příslušný technologický postup a registr rizik </w:t>
      </w:r>
      <w:r>
        <w:rPr>
          <w:rFonts w:cs="Arial"/>
        </w:rPr>
        <w:t xml:space="preserve">dodavatele - zhotovitele</w:t>
      </w:r>
      <w:r>
        <w:rPr>
          <w:rFonts w:cs="Arial"/>
        </w:rPr>
        <w:t xml:space="preserve">, včetně zajištění podmínek BOZP, PO, přístupových cest a hygienických podmínek na stavbě.   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Pokud budou na stavbě pracovat zahraniční dělníci, musí být výstražné texty dvoujazyčné a doplněny vhodnými symboly. 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Dále budou dodrženy: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cs="Arial"/>
        </w:rPr>
      </w:pPr>
      <w:r>
        <w:rPr>
          <w:rFonts w:cs="Arial"/>
        </w:rPr>
        <w:t xml:space="preserve">Bezpečnost práce a ochrana zdraví na této stavbě vychází z platného zákoníku práce Zákon č. 262/2006 Sb., zákona č. 309/2006 Sb. (kterým se upravují další požadavky </w:t>
      </w:r>
      <w:r>
        <w:rPr>
          <w:rFonts w:cs="Arial"/>
        </w:rPr>
        <w:t xml:space="preserve">BOZP  v</w:t>
      </w:r>
      <w:r>
        <w:rPr>
          <w:rFonts w:cs="Arial"/>
        </w:rPr>
        <w:t xml:space="preserve"> pracovněprávních vztazích a o zajištění BOZP) a NV 591/2006 Sb. (o bezpečnosti práce a provozu při stavebních pracích), </w:t>
      </w:r>
      <w:r>
        <w:t xml:space="preserve">NV 101/2005 Sb., NV č. 378/2001 Sb., NV362/2005 Sb.</w:t>
      </w:r>
      <w:r>
        <w:rPr>
          <w:rFonts w:cs="Arial"/>
        </w:rPr>
        <w:t xml:space="preserve"> doplněné interními předpisy dodavatele statického zajištění, včetně registru rizik pro tuto stavbu.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 w:firstLine="426"/>
        <w:rPr>
          <w:rFonts w:cs="Arial"/>
          <w:bCs/>
        </w:rPr>
      </w:pPr>
      <w:r>
        <w:rPr>
          <w:rFonts w:cs="Arial"/>
          <w:bCs/>
        </w:rPr>
        <w:t xml:space="preserve">Dále budou dodrženy požadavky </w:t>
      </w:r>
      <w:r>
        <w:rPr>
          <w:rFonts w:cs="Arial"/>
          <w:bCs/>
        </w:rPr>
        <w:t xml:space="preserve">vyhl</w:t>
      </w:r>
      <w:r>
        <w:rPr>
          <w:rFonts w:cs="Arial"/>
          <w:bCs/>
        </w:rPr>
        <w:t xml:space="preserve">. č. 268/2009 (Vyhláška o technických požadavcích na stavby, plynotěsné utěsnění chrániček), </w:t>
      </w:r>
      <w:r>
        <w:rPr>
          <w:rFonts w:cs="Arial"/>
          <w:bCs/>
        </w:rPr>
        <w:t xml:space="preserve">vyhl</w:t>
      </w:r>
      <w:r>
        <w:rPr>
          <w:rFonts w:cs="Arial"/>
          <w:bCs/>
        </w:rPr>
        <w:t xml:space="preserve">. MMR ČR 268/2009 a ČSN EN 62 305-1 – 4 ed.2 (ochrana před </w:t>
      </w:r>
      <w:r>
        <w:rPr>
          <w:rFonts w:cs="Arial"/>
          <w:bCs/>
        </w:rPr>
        <w:t xml:space="preserve">bleskem) a ochrana pracovníků před pádem ze střechy, NV 272/2011 Sb. (o ochraně zdraví před nepříznivými účinky hluku a vibrací), NV 378/2001 (Nařízení vlády, kterým se stanoví bližší požadavky na bezpečný provoz a používání strojů, technických zařízení, p</w:t>
      </w:r>
      <w:r>
        <w:rPr>
          <w:rFonts w:cs="Arial"/>
          <w:bCs/>
        </w:rPr>
        <w:t xml:space="preserve">řístrojů a nářadí, strojní zařízení používaná na staveništi), NV 362/2005 (Nařízení vlády o bližších požadavcích na bezpečnost a ochranu zdraví při práci na pracovištích s nebezpečím pádu z výšky nebo do hloubky), opatření k zajištění ochrany třetích osob.</w:t>
      </w:r>
      <w:r>
        <w:rPr>
          <w:rFonts w:cs="Arial"/>
          <w:bCs/>
        </w:rPr>
      </w:r>
      <w:r>
        <w:rPr>
          <w:rFonts w:cs="Arial"/>
          <w:bCs/>
        </w:rPr>
      </w:r>
    </w:p>
    <w:p>
      <w:pPr>
        <w:pBdr/>
        <w:spacing/>
        <w:ind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highlight w:val="none"/>
        </w:rPr>
      </w:r>
      <w:r>
        <w:rPr>
          <w:rFonts w:ascii="Arial" w:hAnsi="Arial" w:cs="Arial"/>
          <w:color w:val="0070c0"/>
          <w:highlight w:val="none"/>
        </w:rPr>
      </w:r>
    </w:p>
    <w:p>
      <w:pPr>
        <w:pBdr/>
        <w:spacing/>
        <w:ind/>
        <w:rPr>
          <w:u w:val="single"/>
        </w:rPr>
      </w:pPr>
      <w:r>
        <w:rPr>
          <w:u w:val="single"/>
        </w:rPr>
        <w:t xml:space="preserve">Zajištění činnosti koordinátora bezpečnosti práce na staveništi</w:t>
      </w:r>
      <w:r>
        <w:rPr>
          <w:u w:val="single"/>
        </w:rPr>
      </w:r>
      <w:r>
        <w:rPr>
          <w:u w:val="single"/>
        </w:rPr>
      </w:r>
    </w:p>
    <w:p>
      <w:pPr>
        <w:pBdr/>
        <w:spacing/>
        <w:ind/>
        <w:rPr/>
      </w:pPr>
      <w:r>
        <w:t xml:space="preserve">Na staveništi se předpokládá působení zaměstnanců více než jednoho zhotovitele, proto je zadavatel stavby (stavebník) povinen dle §14 zákona 309/2006 Sb. určit koordinátora BOZP. </w:t>
      </w:r>
      <w:r/>
      <w:r/>
    </w:p>
    <w:p>
      <w:pPr>
        <w:pBdr/>
        <w:spacing/>
        <w:ind w:firstLine="0" w:left="0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</w:p>
    <w:p>
      <w:pPr>
        <w:pBdr/>
        <w:spacing/>
        <w:ind w:hanging="504" w:left="504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/>
          <w:color w:val="000000" w:themeColor="text1"/>
          <w:u w:val="single"/>
          <w14:ligatures w14:val="none"/>
        </w:rPr>
      </w:pPr>
      <w:r>
        <w:rPr>
          <w:b/>
          <w:bCs/>
        </w:rPr>
      </w:r>
      <w:bookmarkStart w:id="9" w:name="_Toc39487117"/>
      <w:r>
        <w:rPr>
          <w:b/>
          <w:bCs/>
        </w:rPr>
        <w:t xml:space="preserve">Ochrana životního prostředí při výstavbě,</w:t>
      </w:r>
      <w:bookmarkEnd w:id="9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>
          <w:color w:val="0070c0" w:themeColor="text1"/>
          <w:highlight w:val="yellow"/>
        </w:rPr>
      </w:pP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  <w:highlight w:val="none"/>
        </w:rPr>
      </w:pPr>
      <w:r>
        <w:rPr>
          <w:rFonts w:ascii="Arial" w:hAnsi="Arial" w:cs="Arial"/>
          <w:color w:val="000000" w:themeColor="text1"/>
        </w:rPr>
        <w:t xml:space="preserve">Vliv stavby na životní prostředí se projeví vzhledem ke svému okolí zejména </w:t>
      </w:r>
      <w:r>
        <w:rPr>
          <w:rFonts w:ascii="Arial" w:hAnsi="Arial" w:cs="Arial"/>
          <w:color w:val="000000" w:themeColor="text1"/>
        </w:rPr>
        <w:t xml:space="preserve">zvýšenou prašností, hlučností a exhalacemi z provozu </w:t>
      </w:r>
      <w:r>
        <w:rPr>
          <w:rFonts w:ascii="Arial" w:hAnsi="Arial" w:cs="Arial"/>
          <w:color w:val="000000" w:themeColor="text1"/>
        </w:rPr>
        <w:t xml:space="preserve">nákladních automobilů </w:t>
      </w:r>
      <w:r>
        <w:rPr>
          <w:rFonts w:ascii="Arial" w:hAnsi="Arial" w:cs="Arial"/>
          <w:color w:val="000000" w:themeColor="text1"/>
        </w:rPr>
        <w:t xml:space="preserve">a mechan</w:t>
      </w:r>
      <w:r>
        <w:rPr>
          <w:rFonts w:ascii="Arial" w:hAnsi="Arial" w:cs="Arial"/>
          <w:color w:val="000000" w:themeColor="text1"/>
        </w:rPr>
        <w:t xml:space="preserve">i</w:t>
      </w:r>
      <w:r>
        <w:rPr>
          <w:rFonts w:ascii="Arial" w:hAnsi="Arial" w:cs="Arial"/>
          <w:color w:val="000000" w:themeColor="text1"/>
        </w:rPr>
        <w:t xml:space="preserve">zmů.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S ohledem na umístění staveniště do stávající zástavby bude nutné, aby zhotovitel prací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v rámci své přípravy a zejména v průběhu realizace prací byl veden snahou v maximální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možné míře tyto nepříznivé dopady eliminovat.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Okolí stavby bude v průběhu provádění stavebních prací zatíženo hlukem stavebních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strojů a mechanizmů, včetně obsluhující nákladní automobilové dopravy.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 w:line="240" w:lineRule="auto"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 S ohledem na umístění staveniště v blízkosti hlukově chráněné oblasti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bude nutné v průb</w:t>
      </w:r>
      <w:r>
        <w:rPr>
          <w:rFonts w:ascii="Arial" w:hAnsi="Arial" w:cs="Arial"/>
          <w:color w:val="000000" w:themeColor="text1"/>
        </w:rPr>
        <w:t xml:space="preserve">ě</w:t>
      </w:r>
      <w:r>
        <w:rPr>
          <w:rFonts w:ascii="Arial" w:hAnsi="Arial" w:cs="Arial"/>
          <w:color w:val="000000" w:themeColor="text1"/>
        </w:rPr>
        <w:t xml:space="preserve">hu výstavby dodržovat limitní hodnoty hluku ze stavební činnosti.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Stavební práce budou prováděny v souladu s nařízením vlády č.272/2011 Sb. o ochraně zdraví před nepříznivými účinky hluku a vibra</w:t>
      </w:r>
      <w:r>
        <w:rPr>
          <w:rFonts w:cs="Arial"/>
        </w:rPr>
        <w:t xml:space="preserve">cí, v platném znění, bude základní hladina akustického tlaku A ve venkovním prostředí (pro provádění povolených staveb) 50 dB. Korekce přihlížející ke druhu chráněného prostoru a denní a noční době jsou stanoveny dle přílohy 3 k nařízení vlády 272/2011 Sb.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Nejvyšší přípustná ekvivalentní hladina akustického tlaku A v chráněném venkovním prostoru staveb je: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od 7.00 do 21.00       50 dB + 15 dB = 65 dB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od 21.00 do 7.00       nebude probíhat stavební činnost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Opatření na snížení hluku při stavební činnosti: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Veškeré stavební práce budou prováděny tak, aby se minimalizoval dopad na okolí a stavební činnost neomezovala žádné stávající objekty a provozy v sousedství.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Rozhodující je tedy především zajistit vedení prací tak, aby nedocházelo k obtěžování obyvatel okolních domů hlukem nad nezbytně nutnou míru. Toho lze dosáhnout zejména následujícími opatřeními: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0"/>
        </w:numPr>
        <w:pBdr/>
        <w:spacing/>
        <w:ind/>
        <w:contextualSpacing w:val="true"/>
        <w:jc w:val="both"/>
        <w:rPr>
          <w:rFonts w:cs="Arial"/>
        </w:rPr>
      </w:pPr>
      <w:r>
        <w:rPr>
          <w:rFonts w:cs="Arial"/>
        </w:rPr>
        <w:t xml:space="preserve">Po celou dobu výstavby zahajovat stavební činnost nejdříve v 7.00 a končit nejpozději v 21.00 hod. 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0"/>
        </w:numPr>
        <w:pBdr/>
        <w:spacing/>
        <w:ind/>
        <w:contextualSpacing w:val="true"/>
        <w:jc w:val="both"/>
        <w:rPr>
          <w:rFonts w:cs="Arial"/>
        </w:rPr>
      </w:pPr>
      <w:r>
        <w:rPr>
          <w:rFonts w:cs="Arial"/>
        </w:rPr>
        <w:t xml:space="preserve">Stavební práce provádět podle technologicko-technických předpisů, norem platných v ČR 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0"/>
        </w:numPr>
        <w:pBdr/>
        <w:spacing/>
        <w:ind/>
        <w:contextualSpacing w:val="true"/>
        <w:jc w:val="both"/>
        <w:rPr>
          <w:rFonts w:cs="Arial"/>
        </w:rPr>
      </w:pPr>
      <w:r>
        <w:rPr>
          <w:rFonts w:cs="Arial"/>
        </w:rPr>
        <w:t xml:space="preserve">Preferovat moderní mechanismy s omezenou </w:t>
      </w:r>
      <w:r>
        <w:rPr>
          <w:rFonts w:cs="Arial"/>
        </w:rPr>
        <w:t xml:space="preserve">hlučností - vybírat</w:t>
      </w:r>
      <w:r>
        <w:rPr>
          <w:rFonts w:cs="Arial"/>
        </w:rPr>
        <w:t xml:space="preserve"> stavební mechanizmy s co nejnižšími hlukovými</w:t>
      </w:r>
      <w:r>
        <w:rPr>
          <w:rFonts w:cs="Arial"/>
        </w:rPr>
        <w:t xml:space="preserve"> parametry. Hodnoty akustického výkonu jednotlivých strojů nesmí překračovat hodnoty dle nařízení vlády č.9/2002 Sb., kterým se stanoví technické požadavky na výrobky z hlediska emisí hluku, ve znění nařízení vlády č. 342/2003 Sb. a nařízení č.198/2006 Sb.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0"/>
        </w:numPr>
        <w:pBdr/>
        <w:spacing/>
        <w:ind/>
        <w:contextualSpacing w:val="true"/>
        <w:jc w:val="both"/>
        <w:rPr>
          <w:rFonts w:cs="Arial"/>
        </w:rPr>
      </w:pPr>
      <w:r>
        <w:rPr>
          <w:rFonts w:cs="Arial"/>
        </w:rPr>
        <w:t xml:space="preserve">Používat stroje opatřené předepsanými akustickými zákryty, v bezvadném technickém stavu a správně seřízené, provádět pravidelnou údržbu.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0"/>
        </w:numPr>
        <w:pBdr/>
        <w:spacing/>
        <w:ind/>
        <w:contextualSpacing w:val="true"/>
        <w:jc w:val="both"/>
        <w:rPr>
          <w:rFonts w:cs="Arial"/>
        </w:rPr>
      </w:pPr>
      <w:r>
        <w:rPr>
          <w:rFonts w:cs="Arial"/>
        </w:rPr>
        <w:t xml:space="preserve">Chod strojů naprázdno omezit na nezbytně nutnou dobu.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0"/>
        </w:numPr>
        <w:pBdr/>
        <w:spacing/>
        <w:ind/>
        <w:contextualSpacing w:val="true"/>
        <w:jc w:val="both"/>
        <w:rPr>
          <w:rFonts w:cs="Arial"/>
        </w:rPr>
      </w:pPr>
      <w:r>
        <w:rPr>
          <w:rFonts w:cs="Arial"/>
        </w:rPr>
        <w:t xml:space="preserve">Během prací je nutno dodržovat některá </w:t>
      </w:r>
      <w:r>
        <w:rPr>
          <w:rFonts w:cs="Arial"/>
        </w:rPr>
        <w:t xml:space="preserve">provozně - organizační</w:t>
      </w:r>
      <w:r>
        <w:rPr>
          <w:rFonts w:cs="Arial"/>
        </w:rPr>
        <w:t xml:space="preserve"> opatření. Jedná se především o zákaz používání veškeré akustické signalizace a o okamžité vypínání všech mechanismů během přestávek. Předpokládá se pravidelné kontrolování dodržování těchto opatření včetně kontrolního měření hlučnosti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line="240" w:lineRule="auto"/>
        <w:ind/>
        <w:rPr>
          <w:rFonts w:ascii="Arial" w:hAnsi="Arial" w:cs="Arial"/>
          <w:color w:val="0070c0"/>
          <w:highlight w:val="none"/>
        </w:rPr>
      </w:pP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</w:p>
    <w:p>
      <w:pPr>
        <w:pBdr/>
        <w:spacing/>
        <w:ind/>
        <w:rPr>
          <w:rFonts w:ascii="Arial" w:hAnsi="Arial" w:cs="Arial"/>
          <w:color w:val="0070c0" w:themeColor="text1"/>
        </w:rPr>
      </w:pPr>
      <w:r>
        <w:rPr>
          <w:color w:val="000000" w:themeColor="text1"/>
        </w:rPr>
      </w:r>
      <w:bookmarkStart w:id="51" w:name="_Toc265248321"/>
      <w:r>
        <w:rPr>
          <w:rFonts w:ascii="Arial" w:hAnsi="Arial" w:cs="Arial"/>
          <w:color w:val="000000" w:themeColor="text1"/>
        </w:rPr>
        <w:t xml:space="preserve">Dodavatel stavby bude stavebníkem zavázán k povinnosti chránit veškerou </w:t>
      </w:r>
      <w:r>
        <w:rPr>
          <w:rFonts w:ascii="Arial" w:hAnsi="Arial" w:cs="Arial"/>
          <w:color w:val="000000" w:themeColor="text1"/>
        </w:rPr>
        <w:t xml:space="preserve">vzrostlou zeleň v dosahu stavby a příjezdových komunikací.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Případné poškozené okolní plochy a komunikace budou uvedeny do původního stavu ne</w:t>
      </w:r>
      <w:r>
        <w:rPr>
          <w:rFonts w:ascii="Arial" w:hAnsi="Arial" w:cs="Arial"/>
          <w:color w:val="000000" w:themeColor="text1"/>
        </w:rPr>
        <w:t xml:space="preserve">j</w:t>
      </w:r>
      <w:r>
        <w:rPr>
          <w:rFonts w:ascii="Arial" w:hAnsi="Arial" w:cs="Arial"/>
          <w:color w:val="000000" w:themeColor="text1"/>
        </w:rPr>
        <w:t xml:space="preserve">později s ukončením stavebních prací.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</w:p>
    <w:p>
      <w:pPr>
        <w:pBdr/>
        <w:spacing/>
        <w:ind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  <w:r>
        <w:rPr>
          <w:rFonts w:ascii="Arial" w:hAnsi="Arial" w:cs="Arial"/>
          <w:color w:val="0070c0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 w:val="0"/>
          <w:i/>
          <w:color w:val="000000" w:themeColor="text1"/>
          <w:u w:val="single"/>
          <w14:ligatures w14:val="none"/>
        </w:rPr>
      </w:pPr>
      <w:r>
        <w:rPr>
          <w:b/>
          <w:bCs/>
        </w:rPr>
      </w:r>
      <w:r>
        <w:rPr>
          <w:b/>
          <w:bCs/>
        </w:rPr>
        <w:t xml:space="preserve">Maximální produkovaná množství a druhy odpadů a emisí při výstavbě, jejich likvidace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0"/>
          <w:numId w:val="0"/>
        </w:numPr>
        <w:pBdr/>
        <w:spacing w:line="0" w:lineRule="atLeast"/>
        <w:ind/>
        <w:jc w:val="both"/>
        <w:rPr/>
      </w:pPr>
      <w:r>
        <w:t xml:space="preserve">Přítomnost azbestu se na základě obhlídky konstrukcí na stavbě </w:t>
      </w:r>
      <w:r>
        <w:rPr>
          <w:u w:val="single"/>
        </w:rPr>
        <w:t xml:space="preserve">nepředpokládá.</w:t>
      </w:r>
      <w:r/>
      <w:r/>
    </w:p>
    <w:p>
      <w:pPr>
        <w:pBdr/>
        <w:spacing/>
        <w:ind/>
        <w:jc w:val="both"/>
        <w:rPr>
          <w:b/>
          <w:u w:val="single"/>
        </w:rPr>
      </w:pPr>
      <w:r/>
      <w:bookmarkStart w:id="7" w:name="_Toc39487115"/>
      <w:r/>
      <w:bookmarkEnd w:id="7"/>
      <w:r>
        <w:rPr>
          <w:b/>
          <w:u w:val="single"/>
        </w:rPr>
      </w:r>
      <w:r>
        <w:rPr>
          <w:b/>
          <w:u w:val="single"/>
        </w:rPr>
      </w:r>
    </w:p>
    <w:p>
      <w:pPr>
        <w:pBdr/>
        <w:spacing/>
        <w:ind/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Likvidace odpadu bude v souladu se zákonem č.</w:t>
      </w:r>
      <w:r>
        <w:rPr>
          <w:rFonts w:cs="Arial"/>
          <w:lang w:eastAsia="cs-CZ"/>
        </w:rPr>
        <w:t xml:space="preserve">541</w:t>
      </w:r>
      <w:r>
        <w:rPr>
          <w:rFonts w:cs="Arial"/>
          <w:lang w:eastAsia="cs-CZ"/>
        </w:rPr>
        <w:t xml:space="preserve">/20</w:t>
      </w:r>
      <w:r>
        <w:rPr>
          <w:rFonts w:cs="Arial"/>
          <w:lang w:eastAsia="cs-CZ"/>
        </w:rPr>
        <w:t xml:space="preserve">20</w:t>
      </w:r>
      <w:r>
        <w:rPr>
          <w:rFonts w:cs="Arial"/>
          <w:lang w:eastAsia="cs-CZ"/>
        </w:rPr>
        <w:t xml:space="preserve"> Sb. v platném znění, včetně novelizace, a katalogu odpadů dle vyhlášky MŽP 93/2016 Sb.</w:t>
      </w:r>
      <w:r>
        <w:rPr>
          <w:rFonts w:cs="Arial"/>
          <w:lang w:eastAsia="cs-CZ"/>
        </w:rPr>
      </w:r>
      <w:r>
        <w:rPr>
          <w:rFonts w:cs="Arial"/>
          <w:lang w:eastAsia="cs-CZ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Specifikace množství a jednotlivých druhů odpadů v průběhu výstavby bude specifikována a seznam bude doplňován.  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Pro shromažďování jednotlivých druhů odpadů </w:t>
      </w:r>
      <w:r>
        <w:rPr>
          <w:rFonts w:cs="Arial"/>
        </w:rPr>
        <w:t xml:space="preserve">vytvoří</w:t>
      </w:r>
      <w:r>
        <w:rPr>
          <w:rFonts w:cs="Arial"/>
        </w:rPr>
        <w:t xml:space="preserve"> dodavatel stavby v prostoru staveniště potřebné podmínky</w:t>
      </w:r>
      <w:r>
        <w:rPr>
          <w:rFonts w:cs="Arial"/>
        </w:rPr>
        <w:t xml:space="preserve">. Za dodržování předpisů pro nakládání s odpady, včetně vyhovujícího způsobu likvidace, které vzniknou v průběhu výstavby, odpovídá generální dodavatel stavby. Množství všech výše uvedených odpadů vznikajících v etapě výstavby nelze zatím objektivně určit.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Doklady o uložení jednotlivých druhů odpadů budou předloženy při kolaudaci.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Dodavatel stavebních prací zajistí při provádění prací čistotu zpevněných ploch investora.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eastAsiaTheme="minorHAnsi"/>
        </w:rPr>
      </w:pPr>
      <w:r>
        <w:rPr>
          <w:rFonts w:eastAsiaTheme="minorHAnsi"/>
        </w:rPr>
        <w:t xml:space="preserve">Stavební materiály nebudou používány ty, jejichž hmotnostní aktivita 226 </w:t>
      </w:r>
      <w:r>
        <w:rPr>
          <w:rFonts w:eastAsiaTheme="minorHAnsi"/>
        </w:rPr>
        <w:t xml:space="preserve">Ra</w:t>
      </w:r>
      <w:r>
        <w:rPr>
          <w:rFonts w:eastAsiaTheme="minorHAnsi"/>
        </w:rPr>
        <w:t xml:space="preserve"> je větší než 120 </w:t>
      </w:r>
      <w:r>
        <w:rPr>
          <w:rFonts w:eastAsiaTheme="minorHAnsi"/>
        </w:rPr>
        <w:t xml:space="preserve">Bg</w:t>
      </w:r>
      <w:r>
        <w:rPr>
          <w:rFonts w:eastAsiaTheme="minorHAnsi"/>
        </w:rPr>
        <w:t xml:space="preserve">/kg.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/>
        <w:jc w:val="both"/>
        <w:rPr/>
      </w:pPr>
      <w:r/>
      <w:r/>
      <w:r/>
    </w:p>
    <w:p>
      <w:pPr>
        <w:pBdr/>
        <w:spacing/>
        <w:ind/>
        <w:jc w:val="both"/>
        <w:rPr>
          <w:b/>
          <w:u w:val="single"/>
        </w:rPr>
      </w:pPr>
      <w:r/>
      <w:bookmarkStart w:id="8" w:name="_Toc39487116"/>
      <w:r>
        <w:rPr>
          <w:b/>
          <w:u w:val="single"/>
        </w:rPr>
        <w:t xml:space="preserve">Bilance zemních prací, požadavky na přísun nebo deponie zemin,</w:t>
      </w:r>
      <w:bookmarkEnd w:id="8"/>
      <w:r>
        <w:rPr>
          <w:b/>
          <w:u w:val="single"/>
        </w:rPr>
        <w:t xml:space="preserve"> </w:t>
      </w:r>
      <w:r>
        <w:rPr>
          <w:b/>
          <w:u w:val="single"/>
        </w:rPr>
      </w:r>
      <w:r>
        <w:rPr>
          <w:b/>
          <w:u w:val="single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Největší objem zemních prací (</w:t>
      </w:r>
      <w:r>
        <w:rPr>
          <w:rFonts w:cs="Arial"/>
        </w:rPr>
        <w:t xml:space="preserve">výkop pro výtahovou šachtu</w:t>
      </w:r>
      <w:r>
        <w:rPr>
          <w:rFonts w:cs="Arial"/>
        </w:rPr>
        <w:t xml:space="preserve">) bude proveden jako součást </w:t>
      </w:r>
      <w:r>
        <w:rPr>
          <w:rFonts w:cs="Arial"/>
        </w:rPr>
        <w:t xml:space="preserve">zemních prací.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V</w:t>
      </w:r>
      <w:r>
        <w:rPr>
          <w:rFonts w:cs="Arial"/>
        </w:rPr>
        <w:t xml:space="preserve">ykopan</w:t>
      </w:r>
      <w:r>
        <w:rPr>
          <w:rFonts w:cs="Arial"/>
        </w:rPr>
        <w:t xml:space="preserve">é</w:t>
      </w:r>
      <w:r>
        <w:rPr>
          <w:rFonts w:cs="Arial"/>
        </w:rPr>
        <w:t xml:space="preserve"> zemin</w:t>
      </w:r>
      <w:r>
        <w:rPr>
          <w:rFonts w:cs="Arial"/>
        </w:rPr>
        <w:t xml:space="preserve">y</w:t>
      </w:r>
      <w:r>
        <w:rPr>
          <w:rFonts w:cs="Arial"/>
        </w:rPr>
        <w:t xml:space="preserve"> budou odváženy </w:t>
      </w:r>
      <w:r>
        <w:rPr>
          <w:rFonts w:cs="Arial"/>
        </w:rPr>
        <w:t xml:space="preserve">na recyklační střediska / skládky.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Při výstavbě budou prováděny štěrkové násypy. Vhodný materiál bude na stavbu dovážen.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ascii="Arial" w:hAnsi="Arial" w:cs="Arial"/>
          <w:color w:val="0070c0"/>
          <w:highlight w:val="none"/>
        </w:rPr>
      </w:pPr>
      <w:r>
        <w:rPr>
          <w:rFonts w:ascii="Arial" w:hAnsi="Arial" w:cs="Arial"/>
          <w:color w:val="0070c0"/>
          <w:highlight w:val="none"/>
        </w:rPr>
      </w:r>
      <w:r>
        <w:rPr>
          <w:rFonts w:ascii="Arial" w:hAnsi="Arial" w:cs="Arial"/>
          <w:color w:val="0070c0"/>
          <w:highlight w:val="none"/>
        </w:rPr>
      </w:r>
    </w:p>
    <w:p>
      <w:pPr>
        <w:pBdr/>
        <w:spacing/>
        <w:ind/>
        <w:rPr>
          <w:rFonts w:ascii="Arial" w:hAnsi="Arial" w:cs="Arial"/>
          <w:color w:val="0070c0"/>
          <w:highlight w:val="yellow"/>
        </w:rPr>
      </w:pPr>
      <w:r>
        <w:rPr>
          <w:rFonts w:ascii="Arial" w:hAnsi="Arial" w:cs="Arial"/>
          <w:color w:val="0070c0"/>
          <w:highlight w:val="yellow"/>
        </w:rPr>
      </w:r>
      <w:r>
        <w:rPr>
          <w:rFonts w:ascii="Arial" w:hAnsi="Arial" w:cs="Arial"/>
          <w:color w:val="0070c0"/>
          <w:highlight w:val="yellow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/>
          <w:color w:val="000000" w:themeColor="text1"/>
          <w:u w:val="single"/>
          <w14:ligatures w14:val="none"/>
        </w:rPr>
      </w:pPr>
      <w:r>
        <w:rPr>
          <w:b/>
          <w:bCs/>
        </w:rPr>
      </w:r>
      <w:bookmarkStart w:id="10" w:name="_Toc39487118"/>
      <w:r>
        <w:rPr>
          <w:b/>
          <w:bCs/>
        </w:rPr>
        <w:t xml:space="preserve">Zásady bezpečnosti a ochrany zdraví při práci na staveništi,</w:t>
      </w:r>
      <w:bookmarkEnd w:id="10"/>
      <w:r>
        <w:rPr>
          <w:b/>
          <w:bCs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Při provádění stavby budou dodržovány následující předpisy: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Zákon č. 309/2006 Sb., kterým se upravují další poža</w:t>
      </w:r>
      <w:r>
        <w:rPr>
          <w:rFonts w:cs="Arial"/>
        </w:rPr>
        <w:t xml:space="preserve">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Práce na staveništi mohou být zahájeny po splnění požadavku výše citovaného zákona a zejména dle § 3, 5, 6 hlavy I, dále § </w:t>
      </w:r>
      <w:r>
        <w:rPr>
          <w:rFonts w:cs="Arial"/>
        </w:rPr>
        <w:t xml:space="preserve">9 – 11</w:t>
      </w:r>
      <w:r>
        <w:rPr>
          <w:rFonts w:cs="Arial"/>
        </w:rPr>
        <w:t xml:space="preserve"> hlava III s odkazy na další právní akty v poznámkách.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Zákon č. 309/2006 Sb., část třetí – Další úkoly zadavatele stavby, jejího zhotovitele, případně fyzické osoby, která se podílí na zhotovení stavby, a koordinátora bezpečnosti a ochrany zdraví při práci na staveništi.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§ 14 stanoví počet a funkci koordinátora, § 15 podmínky stanovení koordinátora, další §fy stanoví povinnosti koordinátora.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Nařízení vlády č. 362/2005 Sb. o bližších požadavcích na bezpečnost a ochranu zdraví při práci na pracovištích s nebezpečím pádu z výšky nebo do hloubky.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Nařízení vlády č. 101/2005 Sb. o podrobnějších požadavcích na pracoviště a pracovní prostředí.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Nařízení vlády č. 591/2006 Sb. o bližších minimálních požadavcích na bezpečnost a ochranu zdraví při práci na staveništích.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§ </w:t>
      </w:r>
      <w:r>
        <w:rPr>
          <w:rFonts w:cs="Arial"/>
        </w:rPr>
        <w:t xml:space="preserve">1 – 3</w:t>
      </w:r>
      <w:r>
        <w:rPr>
          <w:rFonts w:cs="Arial"/>
        </w:rPr>
        <w:t xml:space="preserve"> povinnosti zhotovitele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§ 7 – funkce koordinátora během přípravy stavby a během realizace stavby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a přílohy k nařízení vlády č. 591/2006 Sb.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příloha č. 1 – </w:t>
      </w:r>
      <w:r>
        <w:rPr>
          <w:rFonts w:cs="Arial"/>
        </w:rPr>
        <w:tab/>
        <w:t xml:space="preserve">Další požadavky na staveniště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příloha č. 2 – </w:t>
      </w:r>
      <w:r>
        <w:rPr>
          <w:rFonts w:cs="Arial"/>
        </w:rPr>
        <w:tab/>
        <w:t xml:space="preserve">Bližší minimální požadavky na bezpečnost a ochranu zdraví při provozu a používání strojů a nářadí na staveništi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příloha č. 3 – </w:t>
      </w:r>
      <w:r>
        <w:rPr>
          <w:rFonts w:cs="Arial"/>
        </w:rPr>
        <w:tab/>
        <w:t xml:space="preserve">Požadavky na organizaci práce a pracovní postupy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příloha č. 4 – </w:t>
      </w:r>
      <w:r>
        <w:rPr>
          <w:rFonts w:cs="Arial"/>
        </w:rPr>
        <w:tab/>
        <w:t xml:space="preserve">Náležitosti oznámení o zahájení prací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příloha č. 5 – </w:t>
      </w:r>
      <w:r>
        <w:rPr>
          <w:rFonts w:cs="Arial"/>
        </w:rPr>
        <w:tab/>
        <w:t xml:space="preserve">Práce a činnosti vystavující fyzickou osobu zvýšenému ohrožení života nebo poškození zdraví, při jejichž provádění vzniká povinnost vypracovat plán.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Za vybavení pracoviště ochrannými pomůckami odpovídá v plné míře dodavatelská organizace, stejně tak ve věci poučení a proškolení p</w:t>
      </w:r>
      <w:r>
        <w:rPr>
          <w:rFonts w:cs="Arial"/>
        </w:rPr>
        <w:t xml:space="preserve">racovníků, zajištění odborného vedení a dozoru. Za ochranu zdraví pracovníků, osob v blízkosti stavby, pohyb stavebních mechanismů a postupy odstraňování staveb odpovídá pověřený pracovník dodavatele stavebních prací s plnými kompetencemi k řízení stavby.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Vzájemné vztahy, závazky a povinnosti v oblasti bezpečnosti práce musí být mezi účastníky výstavby dohodnuty předem a musí být obsaženy v zápise o odevzdání staveniště, pokud již nejsou zakotveny přímo ve smlouvě o dílo.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60" w:before="144"/>
        <w:ind/>
        <w:jc w:val="both"/>
        <w:rPr>
          <w:rFonts w:cs="Arial"/>
        </w:rPr>
      </w:pPr>
      <w:r>
        <w:rPr>
          <w:rFonts w:cs="Arial"/>
        </w:rPr>
        <w:t xml:space="preserve">Dodavatel stavebních prací je povinen dodržovat ustanovení veškerých vydaných zákonů, směrnic, nařízení apod. i těch, které nejsou v ZOV citovány.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60" w:before="144"/>
        <w:ind/>
        <w:jc w:val="both"/>
        <w:rPr>
          <w:rFonts w:cs="Arial"/>
        </w:rPr>
      </w:pPr>
      <w:r>
        <w:rPr>
          <w:rFonts w:cs="Arial"/>
        </w:rPr>
        <w:t xml:space="preserve">Projektant (bude</w:t>
      </w:r>
      <w:r>
        <w:rPr>
          <w:rFonts w:cs="Arial"/>
        </w:rPr>
        <w:t xml:space="preserve">-li mít povinnost autorského dozoru) a technický dozor investora, jsou povinni při zjištění nedostatků v bezpečnosti práce na ně upozornit zápisem do stavebního deníku. V případě, že hrozí bezprostřední nebezpečí ohrožení zdraví pracovníků, jsou oprávněni </w:t>
      </w:r>
      <w:r>
        <w:rPr>
          <w:rFonts w:cs="Arial"/>
        </w:rPr>
        <w:t xml:space="preserve">okamžitě zastavit práce a uvědomit dodavatele stavby. O rozhodnutí musí být učiněn zápis ve stavebním deníku.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60" w:before="144"/>
        <w:ind/>
        <w:jc w:val="both"/>
        <w:rPr>
          <w:rFonts w:cs="Arial"/>
        </w:rPr>
      </w:pPr>
      <w:r>
        <w:rPr>
          <w:rFonts w:cs="Arial"/>
        </w:rPr>
        <w:t xml:space="preserve">Trasy, kudy bude dopravován materiál, musí být řádně osvětleny a bez překážek.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00" w:before="100"/>
        <w:ind/>
        <w:jc w:val="both"/>
        <w:rPr>
          <w:rFonts w:cs="Arial"/>
        </w:rPr>
      </w:pPr>
      <w:r>
        <w:rPr>
          <w:rFonts w:cs="Arial"/>
        </w:rPr>
        <w:t xml:space="preserve">Všichni pracovníci budou řádně proškoleni z BOZP a budou na stavbě používat bezpečnostní ochranné pomůcky.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before="240"/>
        <w:ind/>
        <w:jc w:val="both"/>
        <w:rPr>
          <w:rFonts w:cs="Arial"/>
        </w:rPr>
      </w:pPr>
      <w:r>
        <w:rPr>
          <w:rFonts w:cs="Arial"/>
        </w:rPr>
        <w:t xml:space="preserve">Bezpečnost práce a ochrana z</w:t>
      </w:r>
      <w:r>
        <w:rPr>
          <w:rFonts w:cs="Arial"/>
        </w:rPr>
        <w:t xml:space="preserve">draví na této stavbě budou prováděny s platnými obecně závaznými a zvláštními předpisy a vyhláškami v platném znění: zákoník práce Zákon č. 262/2006 Sb., zákona č. 309/2006 Sb. (kterým se upravují další požadavky BOZP  v pracovněprávních vztazích a o zajiš</w:t>
      </w:r>
      <w:r>
        <w:rPr>
          <w:rFonts w:cs="Arial"/>
        </w:rPr>
        <w:t xml:space="preserve">tění BOZP) a NV 591/2006 Sb. (o bezpečnosti práce a provozu při stavebních pracích), NV 101/2005 Sb., NV č. 378/2001 Sb., NV č. 272/2011 Sb., NV362/2005 Sb. doplněné interními předpisy dodavatele statického zajištění, včetně registru rizik pro tuto stavbu.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before="240"/>
        <w:ind/>
        <w:jc w:val="both"/>
        <w:rPr>
          <w:rFonts w:cs="Arial"/>
        </w:rPr>
      </w:pPr>
      <w:r>
        <w:rPr>
          <w:rFonts w:cs="Arial"/>
        </w:rPr>
        <w:t xml:space="preserve">Zhotovitel </w:t>
      </w:r>
      <w:r>
        <w:rPr>
          <w:rFonts w:cs="Arial"/>
        </w:rPr>
        <w:t xml:space="preserve">prací je povinen provádět pravidelná školení zainteresovaných pracovníků na stavbě z platných předpisů BOZP a PO a vést o nich prokazatelně záznamy. Z bezpečnostních důvodů musí být na stavbě mobilní telefon. Na určeném místě musí být lékárnička prvé pomoc</w:t>
      </w:r>
      <w:r>
        <w:rPr>
          <w:rFonts w:cs="Arial"/>
        </w:rPr>
        <w:t xml:space="preserve">i, ruční hasicí přístroj a určený ekologický zásypový materiál. Pro každé pracoviště musí být vypracován příslušný technologický postup a registr rizik zhotovitele, včetně zajištění podmínek BOZP, PO, přístupových cest a hygienických podmínek na stavbě.  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before="240"/>
        <w:ind/>
        <w:jc w:val="both"/>
        <w:rPr>
          <w:rFonts w:cs="Arial"/>
        </w:rPr>
      </w:pPr>
      <w:r>
        <w:rPr>
          <w:rFonts w:cs="Arial"/>
        </w:rPr>
        <w:t xml:space="preserve">Zhotovitel prací je povinen při stavebně – technologické přípravě vytvořit podmínky k zajištění bezpečnosti práce a provozu na stavbě i bezpečnosti uživatele přilehlých vnitrozávodních komunikací, pozemků a budov. 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before="240"/>
        <w:ind/>
        <w:jc w:val="both"/>
        <w:rPr>
          <w:rFonts w:cs="Arial"/>
        </w:rPr>
      </w:pPr>
      <w:r>
        <w:rPr>
          <w:rFonts w:cs="Arial"/>
        </w:rPr>
        <w:t xml:space="preserve">Vzájemné vztahy, závazky a povinnosti v oblasti bezpečnosti práce musí být mezi účastníky výstavby dohodnuty předem a musí být obsaženy v zápise o předání staveniště, pokud již nejsou stanoveny ve smlouvě o dílo.</w:t>
      </w:r>
      <w:r>
        <w:rPr>
          <w:rFonts w:cs="Arial"/>
        </w:rPr>
      </w:r>
      <w:r>
        <w:rPr>
          <w:rFonts w:cs="Arial"/>
        </w:rPr>
      </w:r>
    </w:p>
    <w:p>
      <w:pPr>
        <w:pBdr/>
        <w:spacing w:before="240"/>
        <w:ind/>
        <w:jc w:val="both"/>
        <w:rPr>
          <w:rFonts w:cs="Arial"/>
        </w:rPr>
      </w:pPr>
      <w:r>
        <w:rPr>
          <w:rFonts w:cs="Arial"/>
        </w:rPr>
        <w:t xml:space="preserve">Pokud budou na stavbě pracovat zahraniční dělníci, musí být výstražné texty dvoujazyčné a doplněny vhodnými symboly. </w:t>
      </w:r>
      <w:r>
        <w:rPr>
          <w:rFonts w:cs="Arial"/>
        </w:rPr>
      </w:r>
      <w:r>
        <w:rPr>
          <w:rFonts w:cs="Arial"/>
        </w:rPr>
      </w:r>
    </w:p>
    <w:p>
      <w:pPr>
        <w:pStyle w:val="801"/>
        <w:pBdr/>
        <w:spacing/>
        <w:ind w:firstLine="0" w:left="1080"/>
        <w:rPr>
          <w:rFonts w:ascii="Arial" w:hAnsi="Arial" w:cs="Arial"/>
          <w:color w:val="000000" w:themeColor="text1"/>
          <w:sz w:val="22"/>
          <w:szCs w:val="22"/>
          <w14:ligatures w14:val="none"/>
        </w:rPr>
      </w:pP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/>
          <w:u w:val="single"/>
          <w14:ligatures w14:val="none"/>
        </w:rPr>
      </w:pPr>
      <w:r>
        <w:rPr>
          <w:b/>
          <w:bCs/>
        </w:rPr>
      </w:r>
      <w:bookmarkStart w:id="11" w:name="_Toc39487119"/>
      <w:r>
        <w:rPr>
          <w:b/>
          <w:bCs/>
        </w:rPr>
        <w:t xml:space="preserve">Úpravy pro bezbariérové užívání výstavbou dotčených staveb a zajištění provozu stávajících objektů areálu</w:t>
      </w:r>
      <w:r>
        <w:rPr>
          <w:b/>
          <w:bCs/>
        </w:rPr>
        <w:t xml:space="preserve">,</w:t>
      </w:r>
      <w:bookmarkEnd w:id="11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Bezbariérový přístup stávajících objektů nebude výstavbou dotčen.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Stavba umožní vjezd do areálu stávajícím vjezdem</w:t>
      </w:r>
      <w:r>
        <w:rPr>
          <w:rFonts w:cs="Arial"/>
        </w:rPr>
        <w:t xml:space="preserve">. </w:t>
      </w:r>
      <w:r>
        <w:rPr>
          <w:rFonts w:cs="Arial"/>
        </w:rPr>
        <w:t xml:space="preserve">Dodavatel stavby zajistí minimální zásah do provozu školy, před začátkem realizace připraví harmonogram prací a plán zařízení staveniště, který si nechá odsouhlasit zástupcem investora a zástupcem</w:t>
      </w:r>
      <w:r>
        <w:rPr>
          <w:rFonts w:cs="Arial"/>
        </w:rPr>
        <w:t xml:space="preserve"> školy.</w:t>
      </w:r>
      <w:r>
        <w:rPr>
          <w:rFonts w:cs="Arial"/>
        </w:rPr>
      </w:r>
      <w:r>
        <w:rPr>
          <w:rFonts w:cs="Arial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/>
          <w:color w:val="000000" w:themeColor="text1"/>
          <w:u w:val="single"/>
          <w14:ligatures w14:val="none"/>
        </w:rPr>
      </w:pPr>
      <w:r>
        <w:rPr>
          <w:b/>
          <w:bCs/>
        </w:rPr>
      </w:r>
      <w:bookmarkStart w:id="12" w:name="_Toc39487120"/>
      <w:r>
        <w:rPr>
          <w:b/>
          <w:bCs/>
        </w:rPr>
        <w:t xml:space="preserve">Zásady pro dopravní inženýrská opatření,</w:t>
      </w:r>
      <w:bookmarkEnd w:id="12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jc w:val="both"/>
        <w:rPr>
          <w:rFonts w:eastAsiaTheme="minorHAnsi"/>
        </w:rPr>
      </w:pPr>
      <w:r>
        <w:rPr>
          <w:rFonts w:eastAsiaTheme="minorHAnsi"/>
        </w:rPr>
        <w:t xml:space="preserve">U vjezdu/výjezdu na stavbu bude provedeno přechodné vodorovné a svislé dopravní značení odpovídající příslušným TP. Vše bude předloženo a projednáno s příslušným dopravním inspektorátem. Zařídí dodavatel stavby v rámci svých prací.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/>
        <w:jc w:val="both"/>
        <w:rPr/>
      </w:pPr>
      <w:r>
        <w:rPr>
          <w:rFonts w:cs="Arial"/>
          <w:highlight w:val="none"/>
        </w:rPr>
      </w:r>
      <w:r>
        <w:rPr>
          <w:rFonts w:cs="Arial"/>
          <w:highlight w:val="none"/>
        </w:rPr>
      </w:r>
    </w:p>
    <w:p>
      <w:pPr>
        <w:pBdr/>
        <w:spacing/>
        <w:ind/>
        <w:rPr>
          <w:rFonts w:ascii="Arial" w:hAnsi="Arial" w:cs="Arial"/>
          <w:color w:val="0070c0"/>
          <w:highlight w:val="yellow"/>
        </w:rPr>
      </w:pPr>
      <w:r>
        <w:rPr>
          <w:rFonts w:ascii="Arial" w:hAnsi="Arial" w:cs="Arial"/>
          <w:color w:val="0070c0"/>
          <w:highlight w:val="yellow"/>
        </w:rPr>
      </w:r>
      <w:r>
        <w:rPr>
          <w:rFonts w:ascii="Arial" w:hAnsi="Arial" w:cs="Arial"/>
          <w:color w:val="0070c0"/>
          <w:highlight w:val="yellow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b/>
          <w:color w:val="000000" w:themeColor="text1"/>
          <w:u w:val="single"/>
          <w14:ligatures w14:val="none"/>
        </w:rPr>
      </w:pPr>
      <w:r>
        <w:rPr>
          <w:b/>
          <w:bCs/>
        </w:rPr>
      </w:r>
      <w:bookmarkStart w:id="13" w:name="_Toc39487121"/>
      <w:r>
        <w:rPr>
          <w:b/>
          <w:bCs/>
        </w:rPr>
        <w:t xml:space="preserve">Stanovení speciálních podmínek pro provádění stavby – provádění stavby za provozu, opatření proti účinkům vnějšího prostředí při výstavbě apod.,</w:t>
      </w:r>
      <w:bookmarkEnd w:id="13"/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jc w:val="both"/>
        <w:rPr>
          <w:rFonts w:eastAsiaTheme="minorHAnsi"/>
        </w:rPr>
      </w:pPr>
      <w:r>
        <w:rPr>
          <w:rFonts w:eastAsiaTheme="minorHAnsi"/>
        </w:rPr>
        <w:t xml:space="preserve">Stavba se bude provádět za provozu ve stávající</w:t>
      </w:r>
      <w:r>
        <w:rPr>
          <w:rFonts w:eastAsiaTheme="minorHAnsi"/>
        </w:rPr>
        <w:t xml:space="preserve">m</w:t>
      </w:r>
      <w:r>
        <w:rPr>
          <w:rFonts w:eastAsiaTheme="minorHAnsi"/>
        </w:rPr>
        <w:t xml:space="preserve"> objekt</w:t>
      </w:r>
      <w:r>
        <w:rPr>
          <w:rFonts w:eastAsiaTheme="minorHAnsi"/>
        </w:rPr>
        <w:t xml:space="preserve">u</w:t>
      </w:r>
      <w:r>
        <w:rPr>
          <w:rFonts w:eastAsiaTheme="minorHAnsi"/>
        </w:rPr>
        <w:t xml:space="preserve">. Dodavatel stavby bude povinen dodržovat podmínky investora pro provádění stavebních prací v t</w:t>
      </w:r>
      <w:r>
        <w:rPr>
          <w:rFonts w:eastAsiaTheme="minorHAnsi"/>
        </w:rPr>
        <w:t xml:space="preserve">omto</w:t>
      </w:r>
      <w:r>
        <w:rPr>
          <w:rFonts w:eastAsiaTheme="minorHAnsi"/>
        </w:rPr>
        <w:t xml:space="preserve"> objekt</w:t>
      </w:r>
      <w:r>
        <w:rPr>
          <w:rFonts w:eastAsiaTheme="minorHAnsi"/>
        </w:rPr>
        <w:t xml:space="preserve">u</w:t>
      </w:r>
      <w:r>
        <w:rPr>
          <w:rFonts w:eastAsiaTheme="minorHAnsi"/>
        </w:rPr>
        <w:t xml:space="preserve"> anebo v jejich bezprostřední blízkosti. Současně dodavatel před výstavbou </w:t>
      </w:r>
      <w:r>
        <w:rPr>
          <w:rFonts w:eastAsiaTheme="minorHAnsi"/>
        </w:rPr>
        <w:t xml:space="preserve">předloží</w:t>
      </w:r>
      <w:r>
        <w:rPr>
          <w:rFonts w:eastAsiaTheme="minorHAnsi"/>
        </w:rPr>
        <w:t xml:space="preserve"> návrh zohlednění klimatických podmínek při výstavbě (výstavba v zimním období apod.).</w:t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/>
        <w:jc w:val="both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Dodavatel provede a zajistí </w:t>
      </w:r>
      <w:r>
        <w:rPr>
          <w:rFonts w:cs="Arial"/>
          <w:u w:val="single"/>
        </w:rPr>
        <w:t xml:space="preserve">na svůj účet veškeré potřebné pomocné, ochranné a protiprašné konstrukce včetně zdvihací techniky a lešení</w:t>
      </w:r>
      <w:r>
        <w:rPr>
          <w:rFonts w:cs="Arial"/>
        </w:rPr>
        <w:t xml:space="preserve">. V ceně lešení bude jeho doprava, montáž, demontáž a náklady spojené s pronájmem.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jc w:val="both"/>
        <w:rPr/>
      </w:pPr>
      <w:r>
        <w:t xml:space="preserve">Součástí dodávky je závěrečný kompletní úklid v okolí jednotlivých upravovaných částí. </w:t>
      </w:r>
      <w:r/>
      <w:r/>
    </w:p>
    <w:p>
      <w:pPr>
        <w:pBdr/>
        <w:spacing/>
        <w:ind/>
        <w:jc w:val="both"/>
        <w:rPr/>
      </w:pPr>
      <w:r>
        <w:t xml:space="preserve">V případě vzniklých škod zaviněných dodavatelem na veřejném či soukromém majetku v souvislosti s pracemi dle tohoto popisu, uhradí tyto škody plně dodavatel.</w:t>
      </w:r>
      <w:r/>
      <w:r/>
    </w:p>
    <w:p>
      <w:pPr>
        <w:pBdr/>
        <w:spacing/>
        <w:ind/>
        <w:jc w:val="both"/>
        <w:rPr/>
      </w:pPr>
      <w:r/>
      <w:r/>
      <w:r/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Trasy, kudy bude dopravován materiál, musí být řádně osvětleny a bez překážek.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Součástí prací jsou i veškeré další potřebné pomocné a ochranné konstrukce, lešení či pažení pro provedení konstrukcí.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Součástí dodávky je vnější úklid okolo stavby, demontáž a likvidace zařízení staveniště. Budou zameteny a vodou opláchnuty veškeré zpevněné plochy v areálu a očištěna instalovaná zařízení.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V ceně dodávky budou zahrnuty ceny za spotřebované energie.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V případě vzniklých škod zaviněných dodavatelem na veřejném či soukromém majetku v souvislosti s pracemi, uhradí tyto škody plně dodavatel.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Vlastní práce budou prováděny tak, aby stavební činností nebyly dotčeny okolní pozemky a porosty.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Prašnost bude eliminována pravidelným kropením prostoru staveniště, deponií zeminy a stavebních komunikací. 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V zásadě platí, že budou minimalizovány zásoby sypkých stavebních </w:t>
      </w:r>
      <w:r>
        <w:rPr>
          <w:rFonts w:cs="Arial"/>
        </w:rPr>
        <w:t xml:space="preserve">materiálů</w:t>
      </w:r>
      <w:r>
        <w:rPr>
          <w:rFonts w:cs="Arial"/>
        </w:rPr>
        <w:t xml:space="preserve"> a to jak zemin, tak ostatních potencionálních zdrojů prašnosti.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Pro stavbu bude vypracován vybraným dodavatelem (před zahájením prací) plán havarijních opatření pro případ havarijního úniku látek škodlivých vodám, s jehož obsahem budou seznámeni všichni pracovníci stavby a tento bude schválen a kontrolován.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Kontrolní činnost a spolupráce geologa a statika na stavbě je nezbytná.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Součástí prací a dodávky bude shromažďování, třídění a likvidace odpadů vzniklých při provádění stavby.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Všechny použité materiály a výrobky musí mít příslušné atesty, homologace, prohlášení o shodě a certifikáty pro použití v ČR dle patných předpisů ČR a EU.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Veškeré zařízení budou dokompletovány, nainstalovány či přikotveny a propojeny tak, aby byly při předání plně funkční.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u w:val="single"/>
        </w:rPr>
      </w:pPr>
      <w:r>
        <w:rPr>
          <w:rFonts w:cs="Arial"/>
        </w:rPr>
        <w:t xml:space="preserve">Součástí každé dodávky je i funkční odzkoušení jednotlivých částí zařízení a zařízení jako celek – individuální zkoušky v rámci jednotlivých profesí samostatně.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Veškerá technická </w:t>
      </w:r>
      <w:r>
        <w:rPr>
          <w:rFonts w:cs="Arial"/>
        </w:rPr>
        <w:t xml:space="preserve">zařízení</w:t>
      </w:r>
      <w:r>
        <w:rPr>
          <w:rFonts w:cs="Arial"/>
        </w:rPr>
        <w:t xml:space="preserve"> tj. motory, čerpadla atd., která mohou být příčinou chvění, budou provedena na pružném uložení zamezujícím šíření hluku a vibrací.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Součástí dodávky je i příprava na komplexní zkoušky a provedení zkoušek.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Součástí dodávky zařízení a systémů, které to vyžadují, je i zaškolení obsluhy a údržby.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Veškeré nápisy a označení, předepsané bezpečnostními či provozními normami, jsou součástí dodávky jednotlivých profesí (bude stanoveno v dodavatelské dokumentaci).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Zhotovitel je povinen výrobky před jejich zabudováním předložit k odsouhlasení vzorky vybraných konstrukcí či materiálů ke schválení zástupci TDI a AD. Přesný soupis požadovaných vzorků bude stanoven v průběhu výstavby na kontrolních dnech stavby.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Jakékoliv změny v průběhu výstavby musí být konzultovány s generálním projektantem a generálním dodavatelem stavby.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Před zahájením zemních prací dodavatel zajistí vytyčení inženýrských sítí všeho druhu, osazení chrániček. Dojde-li při provádění k poškození stávajících zpevněných ploch, budou uvedeny do původního stavu.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71"/>
        </w:numPr>
        <w:pBdr/>
        <w:spacing/>
        <w:ind/>
        <w:jc w:val="both"/>
        <w:rPr>
          <w:rFonts w:cs="Arial"/>
        </w:rPr>
      </w:pPr>
      <w:r>
        <w:rPr>
          <w:rFonts w:cs="Arial"/>
        </w:rPr>
        <w:t xml:space="preserve">Zásypy po inženýrských sítích musí být provedeny tak, aby neumožňovaly přítok povrchových vod pod základy jednotlivých objektů. Pro zhutnění bude použito vibračních válců s možností regulace vibrací.</w:t>
      </w:r>
      <w:r>
        <w:rPr>
          <w:rFonts w:cs="Arial"/>
        </w:rPr>
      </w:r>
      <w:r>
        <w:rPr>
          <w:rFonts w:cs="Arial"/>
        </w:rPr>
      </w:r>
    </w:p>
    <w:p>
      <w:pPr>
        <w:pBdr/>
        <w:spacing/>
        <w:ind/>
        <w:rPr>
          <w:rFonts w:ascii="Arial" w:hAnsi="Arial" w:cs="Arial"/>
          <w:color w:val="000000" w:themeColor="text1"/>
          <w:highlight w:val="yellow"/>
        </w:rPr>
      </w:pPr>
      <w:r>
        <w:rPr>
          <w:rFonts w:ascii="Arial" w:hAnsi="Arial" w:cs="Arial"/>
          <w:color w:val="000000" w:themeColor="text1"/>
          <w:highlight w:val="yellow"/>
        </w:rPr>
      </w:r>
      <w:r>
        <w:rPr>
          <w:rFonts w:ascii="Arial" w:hAnsi="Arial" w:cs="Arial"/>
          <w:color w:val="000000" w:themeColor="text1"/>
          <w:highlight w:val="yellow"/>
        </w:rPr>
      </w:r>
    </w:p>
    <w:p>
      <w:pPr>
        <w:pBdr/>
        <w:spacing/>
        <w:ind/>
        <w:rPr>
          <w:rFonts w:ascii="Arial" w:hAnsi="Arial" w:cs="Arial"/>
          <w:color w:val="0070c0" w:themeColor="text1"/>
          <w:highlight w:val="yellow"/>
        </w:rPr>
      </w:pPr>
      <w:r>
        <w:rPr>
          <w:rFonts w:ascii="Arial" w:hAnsi="Arial" w:cs="Arial"/>
          <w:color w:val="000000" w:themeColor="text1"/>
          <w:highlight w:val="yellow"/>
        </w:rPr>
      </w:r>
      <w:r>
        <w:rPr>
          <w:rFonts w:ascii="Arial" w:hAnsi="Arial" w:cs="Arial"/>
          <w:color w:val="000000" w:themeColor="text1"/>
          <w:highlight w:val="yellow"/>
        </w:rPr>
      </w:r>
      <w:r>
        <w:rPr>
          <w:rFonts w:ascii="Arial" w:hAnsi="Arial" w:cs="Arial"/>
          <w:color w:val="000000" w:themeColor="text1"/>
          <w:highlight w:val="yellow"/>
        </w:rPr>
      </w:r>
    </w:p>
    <w:p>
      <w:pPr>
        <w:pStyle w:val="802"/>
        <w:numPr>
          <w:ilvl w:val="0"/>
          <w:numId w:val="67"/>
        </w:numPr>
        <w:pBdr/>
        <w:spacing/>
        <w:ind w:right="0" w:firstLine="0" w:left="850"/>
        <w:rPr>
          <w:color w:val="000000" w:themeColor="text1"/>
          <w:sz w:val="22"/>
          <w:szCs w:val="22"/>
          <w14:ligatures w14:val="none"/>
        </w:rPr>
      </w:pPr>
      <w:r>
        <w:rPr>
          <w:b/>
          <w:bCs/>
        </w:rPr>
      </w:r>
      <w:bookmarkStart w:id="63" w:name="_Toc274900926"/>
      <w:r>
        <w:rPr>
          <w:b/>
          <w:bCs/>
        </w:rPr>
        <w:t xml:space="preserve">j) </w:t>
      </w:r>
      <w:r>
        <w:rPr>
          <w:b/>
          <w:bCs/>
        </w:rPr>
        <w:t xml:space="preserve"> </w:t>
      </w:r>
      <w:r>
        <w:rPr>
          <w:b/>
          <w:bCs/>
        </w:rPr>
        <w:t xml:space="preserve">orientační lhůty výstavby a přehled rozhodujících dílčích termínů</w:t>
      </w:r>
      <w:bookmarkEnd w:id="63"/>
      <w:r>
        <w:rPr>
          <w:b/>
          <w:bCs/>
        </w:rPr>
      </w:r>
      <w:r>
        <w:rPr>
          <w:b/>
          <w:bCs/>
        </w:rPr>
      </w:r>
    </w:p>
    <w:p>
      <w:pPr>
        <w:pBdr/>
        <w:spacing w:line="240" w:lineRule="auto"/>
        <w:ind/>
        <w:rPr>
          <w:rFonts w:ascii="Arial" w:hAnsi="Arial" w:cs="Arial"/>
          <w:b/>
          <w:bCs/>
          <w:color w:val="0070c0" w:themeColor="text1"/>
        </w:rPr>
      </w:pPr>
      <w:r>
        <w:rPr>
          <w:rFonts w:ascii="Arial" w:hAnsi="Arial" w:cs="Arial"/>
          <w:b/>
          <w:bCs/>
          <w:color w:val="000000" w:themeColor="text1"/>
        </w:rPr>
      </w:r>
      <w:r>
        <w:rPr>
          <w:rFonts w:ascii="Arial" w:hAnsi="Arial" w:cs="Arial"/>
          <w:b/>
          <w:bCs/>
          <w:color w:val="000000" w:themeColor="text1"/>
        </w:rPr>
      </w:r>
      <w:r>
        <w:rPr>
          <w:rFonts w:ascii="Arial" w:hAnsi="Arial" w:cs="Arial"/>
          <w:b/>
          <w:bCs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Předpokládaná lhůta výstavby bude 13 měsíc</w:t>
      </w:r>
      <w:r>
        <w:rPr>
          <w:rFonts w:ascii="Arial" w:hAnsi="Arial" w:cs="Arial"/>
          <w:color w:val="000000" w:themeColor="text1"/>
        </w:rPr>
        <w:t xml:space="preserve">e</w:t>
      </w:r>
      <w:r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 w:hanging="735" w:left="735"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zahájení stav. prací:          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listopad </w:t>
      </w:r>
      <w:r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  <w:t xml:space="preserve">20</w:t>
      </w:r>
      <w:r>
        <w:rPr>
          <w:rFonts w:ascii="Arial" w:hAnsi="Arial" w:cs="Arial"/>
          <w:color w:val="000000" w:themeColor="text1"/>
        </w:rPr>
        <w:t xml:space="preserve">24</w:t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rFonts w:ascii="Arial" w:hAnsi="Arial" w:cs="Arial"/>
          <w:color w:val="0070c0" w:themeColor="text1"/>
        </w:rPr>
      </w:pPr>
      <w:r>
        <w:rPr>
          <w:rFonts w:ascii="Arial" w:hAnsi="Arial" w:cs="Arial"/>
          <w:color w:val="000000" w:themeColor="text1"/>
        </w:rPr>
        <w:t xml:space="preserve">ukončení stav. prací:           </w:t>
      </w:r>
      <w:r>
        <w:rPr>
          <w:rFonts w:ascii="Arial" w:hAnsi="Arial" w:cs="Arial"/>
          <w:color w:val="000000" w:themeColor="text1"/>
        </w:rPr>
        <w:t xml:space="preserve">              prosinec   </w:t>
      </w:r>
      <w:r>
        <w:rPr>
          <w:rFonts w:ascii="Arial" w:hAnsi="Arial" w:cs="Arial"/>
          <w:color w:val="000000" w:themeColor="text1"/>
        </w:rPr>
        <w:t xml:space="preserve">  </w:t>
      </w:r>
      <w:r>
        <w:rPr>
          <w:rFonts w:ascii="Arial" w:hAnsi="Arial" w:cs="Arial"/>
          <w:color w:val="000000" w:themeColor="text1"/>
        </w:rPr>
        <w:tab/>
        <w:t xml:space="preserve">2025</w: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p>
      <w:pPr>
        <w:pBdr/>
        <w:spacing/>
        <w:ind/>
        <w:rPr>
          <w:color w:val="0070c0"/>
        </w:rPr>
      </w:pPr>
      <w:r>
        <w:rPr>
          <w:color w:val="0070c0"/>
        </w:rPr>
      </w:r>
      <w:r>
        <w:rPr>
          <w:color w:val="0070c0"/>
        </w:rPr>
      </w:r>
      <w:r>
        <w:rPr>
          <w:color w:val="0070c0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p>
      <w:pPr>
        <w:pBdr/>
        <w:spacing/>
        <w:ind w:left="284"/>
        <w:rPr>
          <w:rFonts w:eastAsiaTheme="minorHAnsi"/>
        </w:rPr>
      </w:pPr>
      <w:r>
        <w:rPr>
          <w:rFonts w:eastAsiaTheme="minorHAnsi"/>
        </w:rPr>
      </w:r>
      <w:r>
        <w:rPr>
          <w:rFonts w:eastAsiaTheme="minorHAnsi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418" w:right="1418" w:bottom="1418" w:left="1418" w:header="709" w:footer="709" w:gutter="0"/>
      <w:pgNumType w:start="1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7958994"/>
      <w:docPartObj>
        <w:docPartGallery w:val="Page Numbers (Bottom of Page)"/>
        <w:docPartUnique w:val="true"/>
      </w:docPartObj>
      <w:rPr/>
    </w:sdtPr>
    <w:sdtContent>
      <w:p>
        <w:pPr>
          <w:pStyle w:val="809"/>
          <w:pBdr/>
          <w:spacing/>
          <w:ind/>
          <w:jc w:val="right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09"/>
      <w:pBdr/>
      <w:spacing/>
      <w:ind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ARTENDR S.R.O.</w:t>
    </w:r>
    <w:r>
      <w:rPr>
        <w:b/>
        <w:bCs/>
        <w:sz w:val="24"/>
        <w:szCs w:val="24"/>
      </w:rPr>
    </w:r>
  </w:p>
  <w:p>
    <w:pPr>
      <w:pBdr/>
      <w:spacing/>
      <w:ind/>
      <w:rPr>
        <w:sz w:val="20"/>
        <w:szCs w:val="20"/>
      </w:rPr>
    </w:pPr>
    <w:r>
      <w:rPr>
        <w:sz w:val="20"/>
        <w:szCs w:val="20"/>
      </w:rPr>
      <w:t xml:space="preserve">Nádražní 67</w:t>
    </w:r>
    <w:r>
      <w:rPr>
        <w:sz w:val="20"/>
        <w:szCs w:val="20"/>
      </w:rPr>
    </w:r>
  </w:p>
  <w:p>
    <w:pPr>
      <w:pBdr/>
      <w:spacing/>
      <w:ind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  <w:t xml:space="preserve">281 51 Velký Osek</w:t>
    </w:r>
    <w:r>
      <w:rPr>
        <w:sz w:val="20"/>
        <w:szCs w:val="20"/>
      </w:rPr>
    </w:r>
  </w:p>
  <w:p>
    <w:pPr>
      <w:pBdr>
        <w:bottom w:val="single" w:color="000000" w:sz="4" w:space="1"/>
      </w:pBdr>
      <w:spacing/>
      <w:ind/>
      <w:rPr>
        <w:sz w:val="20"/>
        <w:szCs w:val="20"/>
      </w:rPr>
    </w:pPr>
    <w:r>
      <w:rPr>
        <w:sz w:val="20"/>
        <w:szCs w:val="20"/>
      </w:rPr>
      <w:t xml:space="preserve">Tel.: 605 283 </w:t>
    </w:r>
    <w:r>
      <w:rPr>
        <w:sz w:val="20"/>
        <w:szCs w:val="20"/>
      </w:rPr>
      <w:t xml:space="preserve">808 ,</w:t>
    </w:r>
    <w:r>
      <w:rPr>
        <w:sz w:val="20"/>
        <w:szCs w:val="20"/>
      </w:rPr>
      <w:t xml:space="preserve"> e-mail: </w:t>
    </w:r>
    <w:hyperlink r:id="rId1" w:tooltip="mailto:info@artendr.cz" w:history="1">
      <w:r>
        <w:rPr>
          <w:rStyle w:val="812"/>
          <w:sz w:val="20"/>
          <w:szCs w:val="20"/>
        </w:rPr>
        <w:t xml:space="preserve">info@artendr.cz</w:t>
      </w:r>
    </w:hyperlink>
    <w:r/>
    <w:r>
      <w:rPr>
        <w:sz w:val="20"/>
        <w:szCs w:val="20"/>
      </w:rPr>
    </w:r>
  </w:p>
  <w:p>
    <w:pPr>
      <w:pBdr>
        <w:bottom w:val="single" w:color="000000" w:sz="4" w:space="1"/>
      </w:pBdr>
      <w:spacing/>
      <w:ind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</w:p>
  <w:p>
    <w:pPr>
      <w:pStyle w:val="80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420"/>
      </w:pPr>
      <w:rPr>
        <w:rFonts w:hint="default" w:ascii="Arial" w:hAnsi="Arial" w:eastAsia="Times New Roman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1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3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0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7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)"/>
      <w:numFmt w:val="lowerLetter"/>
      <w:pPr>
        <w:pBdr/>
        <w:spacing/>
        <w:ind w:hanging="360" w:left="1065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5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792"/>
        </w:tabs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440"/>
        </w:tabs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2160"/>
        </w:tabs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324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432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792"/>
        </w:tabs>
        <w:spacing/>
        <w:ind w:hanging="432" w:left="792"/>
      </w:pPr>
      <w:rPr>
        <w:rFonts w:hint="default" w:ascii="Arial" w:hAnsi="Arial"/>
        <w:b/>
        <w:i w:val="0"/>
        <w:sz w:val="22"/>
      </w:rPr>
      <w:start w:val="1"/>
      <w:suff w:val="tab"/>
    </w:lvl>
    <w:lvl w:ilvl="1">
      <w:isLgl w:val="false"/>
      <w:lvlJc w:val="left"/>
      <w:lvlText w:val="%1.%2"/>
      <w:numFmt w:val="decimal"/>
      <w:pPr>
        <w:pBdr/>
        <w:tabs>
          <w:tab w:val="num" w:leader="none" w:pos="936"/>
        </w:tabs>
        <w:spacing/>
        <w:ind w:hanging="576" w:left="936"/>
      </w:pPr>
      <w:rPr>
        <w:rFonts w:hint="default"/>
      </w:rPr>
      <w:start w:val="1"/>
      <w:suff w:val="tab"/>
    </w:lvl>
    <w:lvl w:ilvl="2">
      <w:isLgl w:val="false"/>
      <w:lvlJc w:val="left"/>
      <w:lvlText w:val="%1.%2.%3"/>
      <w:numFmt w:val="decimal"/>
      <w:pPr>
        <w:pBdr/>
        <w:tabs>
          <w:tab w:val="num" w:leader="none" w:pos="1080"/>
        </w:tabs>
        <w:spacing/>
        <w:ind w:hanging="720" w:left="1080"/>
      </w:pPr>
      <w:rPr>
        <w:rFonts w:hint="default"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tabs>
          <w:tab w:val="num" w:leader="none" w:pos="1224"/>
        </w:tabs>
        <w:spacing/>
        <w:ind w:hanging="864" w:left="1224"/>
      </w:pPr>
      <w:rPr>
        <w:rFonts w:hint="default"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tabs>
          <w:tab w:val="num" w:leader="none" w:pos="1368"/>
        </w:tabs>
        <w:spacing/>
        <w:ind w:hanging="1008" w:left="1368"/>
      </w:pPr>
      <w:rPr>
        <w:rFonts w:hint="default"/>
      </w:rPr>
      <w:start w:val="1"/>
      <w:suff w:val="tab"/>
    </w:lvl>
    <w:lvl w:ilvl="5">
      <w:isLgl w:val="false"/>
      <w:lvlJc w:val="left"/>
      <w:lvlText w:val="%1.%2.%3.%4.%5.%6"/>
      <w:numFmt w:val="decimal"/>
      <w:pPr>
        <w:pBdr/>
        <w:tabs>
          <w:tab w:val="num" w:leader="none" w:pos="1512"/>
        </w:tabs>
        <w:spacing/>
        <w:ind w:hanging="1152" w:left="1512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"/>
      <w:numFmt w:val="decimal"/>
      <w:pPr>
        <w:pBdr/>
        <w:tabs>
          <w:tab w:val="num" w:leader="none" w:pos="1656"/>
        </w:tabs>
        <w:spacing/>
        <w:ind w:hanging="1296" w:left="1656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tabs>
          <w:tab w:val="num" w:leader="none" w:pos="1800"/>
        </w:tabs>
        <w:spacing/>
        <w:ind w:hanging="144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tabs>
          <w:tab w:val="num" w:leader="none" w:pos="1944"/>
        </w:tabs>
        <w:spacing/>
        <w:ind w:hanging="1584" w:left="1944"/>
      </w:pPr>
      <w:rPr>
        <w:rFonts w:hint="default"/>
      </w:rPr>
      <w:start w:val="1"/>
      <w:suff w:val="tab"/>
    </w:lvl>
  </w:abstractNum>
  <w:abstractNum w:abstractNumId="4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%1)"/>
      <w:numFmt w:val="lowerLetter"/>
      <w:pPr>
        <w:pBdr/>
        <w:spacing/>
        <w:ind w:hanging="360" w:left="786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%1)"/>
      <w:numFmt w:val="lowerLetter"/>
      <w:pPr>
        <w:pBdr/>
        <w:spacing/>
        <w:ind w:hanging="360" w:left="1065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5"/>
      </w:pPr>
      <w:rPr/>
      <w:start w:val="1"/>
      <w:suff w:val="tab"/>
    </w:lvl>
  </w:abstractNum>
  <w:abstractNum w:abstractNumId="10">
    <w:lvl w:ilvl="0">
      <w:isLgl w:val="false"/>
      <w:lvlJc w:val="left"/>
      <w:lvlText w:val="%1)"/>
      <w:numFmt w:val="lowerLetter"/>
      <w:pPr>
        <w:pBdr/>
        <w:spacing/>
        <w:ind w:hanging="360" w:left="786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1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%1)"/>
      <w:numFmt w:val="lowerLetter"/>
      <w:pPr>
        <w:pBdr/>
        <w:spacing/>
        <w:ind w:hanging="360" w:left="1146"/>
      </w:pPr>
      <w:pStyle w:val="802"/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tab"/>
    </w:lvl>
  </w:abstractNum>
  <w:abstractNum w:abstractNumId="14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left"/>
      <w:lvlText w:val="%1)"/>
      <w:numFmt w:val="lowerLetter"/>
      <w:pPr>
        <w:pBdr/>
        <w:spacing/>
        <w:ind w:hanging="360" w:left="360"/>
      </w:pPr>
      <w:pStyle w:val="800"/>
      <w:rPr>
        <w:rFonts w:hint="default"/>
        <w:sz w:val="22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8">
    <w:lvl w:ilvl="0">
      <w:isLgl w:val="false"/>
      <w:lvlJc w:val="left"/>
      <w:lvlText w:val="%1)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)"/>
      <w:numFmt w:val="lowerLetter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2">
      <w:isLgl w:val="false"/>
      <w:lvlJc w:val="left"/>
      <w:lvlText w:val="%3)"/>
      <w:numFmt w:val="lowerRoman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3">
      <w:isLgl w:val="false"/>
      <w:lvlJc w:val="left"/>
      <w:lvlText w:val="(%4)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4">
      <w:isLgl w:val="false"/>
      <w:lvlJc w:val="left"/>
      <w:lvlText w:val="(%5)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5">
      <w:isLgl w:val="false"/>
      <w:lvlJc w:val="left"/>
      <w:lvlText w:val="(%6)"/>
      <w:numFmt w:val="lowerRoman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8">
      <w:isLgl w:val="false"/>
      <w:lvlJc w:val="left"/>
      <w:lvlText w:val="%9."/>
      <w:numFmt w:val="lowerRoman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</w:abstractNum>
  <w:abstractNum w:abstractNumId="19">
    <w:lvl w:ilvl="0">
      <w:isLgl w:val="false"/>
      <w:lvlJc w:val="left"/>
      <w:lvlText w:val="%1)"/>
      <w:numFmt w:val="decimal"/>
      <w:pPr>
        <w:pBdr/>
        <w:tabs>
          <w:tab w:val="num" w:leader="none" w:pos="360"/>
        </w:tabs>
        <w:spacing/>
        <w:ind w:hanging="360" w:left="360"/>
      </w:pPr>
      <w:rPr>
        <w:rFonts w:hint="default"/>
      </w:rPr>
      <w:start w:val="1"/>
      <w:suff w:val="tab"/>
    </w:lvl>
    <w:lvl w:ilvl="1">
      <w:isLgl w:val="false"/>
      <w:lvlJc w:val="left"/>
      <w:lvlText w:val="%2)"/>
      <w:numFmt w:val="lowerLetter"/>
      <w:pPr>
        <w:pBdr/>
        <w:tabs>
          <w:tab w:val="num" w:leader="none" w:pos="720"/>
        </w:tabs>
        <w:spacing/>
        <w:ind w:hanging="360" w:left="720"/>
      </w:pPr>
      <w:rPr>
        <w:rFonts w:hint="default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hint="default" w:ascii="Symbol" w:hAnsi="Symbol"/>
        <w:color w:val="auto"/>
      </w:rPr>
      <w:start w:val="1"/>
      <w:suff w:val="tab"/>
    </w:lvl>
    <w:lvl w:ilvl="3">
      <w:isLgl w:val="false"/>
      <w:lvlJc w:val="left"/>
      <w:lvlText w:val="(%4)"/>
      <w:numFmt w:val="decimal"/>
      <w:pPr>
        <w:pBdr/>
        <w:tabs>
          <w:tab w:val="num" w:leader="none" w:pos="1440"/>
        </w:tabs>
        <w:spacing/>
        <w:ind w:hanging="360" w:left="1440"/>
      </w:pPr>
      <w:rPr>
        <w:rFonts w:hint="default"/>
      </w:rPr>
      <w:start w:val="1"/>
      <w:suff w:val="tab"/>
    </w:lvl>
    <w:lvl w:ilvl="4">
      <w:isLgl w:val="false"/>
      <w:lvlJc w:val="left"/>
      <w:lvlText w:val="(%5)"/>
      <w:numFmt w:val="lowerLetter"/>
      <w:pPr>
        <w:pBdr/>
        <w:tabs>
          <w:tab w:val="num" w:leader="none" w:pos="1800"/>
        </w:tabs>
        <w:spacing/>
        <w:ind w:hanging="360" w:left="1800"/>
      </w:pPr>
      <w:rPr>
        <w:rFonts w:hint="default"/>
      </w:rPr>
      <w:start w:val="1"/>
      <w:suff w:val="tab"/>
    </w:lvl>
    <w:lvl w:ilvl="5">
      <w:isLgl w:val="false"/>
      <w:lvlJc w:val="left"/>
      <w:lvlText w:val="(%6)"/>
      <w:numFmt w:val="lowerRoman"/>
      <w:pPr>
        <w:pBdr/>
        <w:tabs>
          <w:tab w:val="num" w:leader="none" w:pos="2160"/>
        </w:tabs>
        <w:spacing/>
        <w:ind w:hanging="360" w:left="2160"/>
      </w:pPr>
      <w:rPr>
        <w:rFonts w:hint="default"/>
      </w:rPr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520"/>
        </w:tabs>
        <w:spacing/>
        <w:ind w:hanging="360" w:left="2520"/>
      </w:pPr>
      <w:rPr>
        <w:rFonts w:hint="default"/>
      </w:rPr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2880"/>
        </w:tabs>
        <w:spacing/>
        <w:ind w:hanging="360" w:left="2880"/>
      </w:pPr>
      <w:rPr>
        <w:rFonts w:hint="default"/>
      </w:rPr>
      <w:start w:val="1"/>
      <w:suff w:val="tab"/>
    </w:lvl>
    <w:lvl w:ilvl="8">
      <w:isLgl w:val="false"/>
      <w:lvlJc w:val="left"/>
      <w:lvlText w:val="%9."/>
      <w:numFmt w:val="lowerRoman"/>
      <w:pPr>
        <w:pBdr/>
        <w:tabs>
          <w:tab w:val="num" w:leader="none" w:pos="3240"/>
        </w:tabs>
        <w:spacing/>
        <w:ind w:hanging="360" w:left="3240"/>
      </w:pPr>
      <w:rPr>
        <w:rFonts w:hint="default"/>
      </w:rPr>
      <w:start w:val="1"/>
      <w:suff w:val="tab"/>
    </w:lvl>
  </w:abstractNum>
  <w:abstractNum w:abstractNumId="20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1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2">
    <w:lvl w:ilvl="0">
      <w:isLgl w:val="false"/>
      <w:lvlJc w:val="left"/>
      <w:lvlText w:val="%1)"/>
      <w:numFmt w:val="decimal"/>
      <w:pPr>
        <w:pBdr/>
        <w:tabs>
          <w:tab w:val="num" w:leader="none" w:pos="720"/>
        </w:tabs>
        <w:spacing/>
        <w:ind w:hanging="360" w:left="720"/>
      </w:pPr>
      <w:rPr>
        <w:rFonts w:hint="default"/>
        <w:b/>
        <w:i w:val="0"/>
        <w:sz w:val="22"/>
      </w:rPr>
      <w:start w:val="1"/>
      <w:suff w:val="tab"/>
    </w:lvl>
    <w:lvl w:ilvl="1">
      <w:isLgl w:val="false"/>
      <w:lvlJc w:val="left"/>
      <w:lvlText w:val="%2)"/>
      <w:numFmt w:val="lowerLetter"/>
      <w:pPr>
        <w:pBdr/>
        <w:tabs>
          <w:tab w:val="num" w:leader="none" w:pos="1080"/>
        </w:tabs>
        <w:spacing/>
        <w:ind w:hanging="360" w:left="1080"/>
      </w:pPr>
      <w:rPr>
        <w:rFonts w:hint="default"/>
      </w:rPr>
      <w:start w:val="1"/>
      <w:suff w:val="tab"/>
    </w:lvl>
    <w:lvl w:ilvl="2">
      <w:isLgl w:val="false"/>
      <w:lvlJc w:val="left"/>
      <w:lvlText w:val="%3)"/>
      <w:numFmt w:val="lowerRoman"/>
      <w:pPr>
        <w:pBdr/>
        <w:tabs>
          <w:tab w:val="num" w:leader="none" w:pos="1440"/>
        </w:tabs>
        <w:spacing/>
        <w:ind w:hanging="360" w:left="1440"/>
      </w:pPr>
      <w:rPr>
        <w:rFonts w:hint="default"/>
      </w:rPr>
      <w:start w:val="1"/>
      <w:suff w:val="tab"/>
    </w:lvl>
    <w:lvl w:ilvl="3">
      <w:isLgl w:val="false"/>
      <w:lvlJc w:val="left"/>
      <w:lvlText w:val="(%4)"/>
      <w:numFmt w:val="decimal"/>
      <w:pPr>
        <w:pBdr/>
        <w:tabs>
          <w:tab w:val="num" w:leader="none" w:pos="1800"/>
        </w:tabs>
        <w:spacing/>
        <w:ind w:hanging="360" w:left="1800"/>
      </w:pPr>
      <w:rPr>
        <w:rFonts w:hint="default"/>
      </w:rPr>
      <w:start w:val="1"/>
      <w:suff w:val="tab"/>
    </w:lvl>
    <w:lvl w:ilvl="4">
      <w:isLgl w:val="false"/>
      <w:lvlJc w:val="left"/>
      <w:lvlText w:val="(%5)"/>
      <w:numFmt w:val="lowerLetter"/>
      <w:pPr>
        <w:pBdr/>
        <w:tabs>
          <w:tab w:val="num" w:leader="none" w:pos="2160"/>
        </w:tabs>
        <w:spacing/>
        <w:ind w:hanging="360" w:left="2160"/>
      </w:pPr>
      <w:rPr>
        <w:rFonts w:hint="default"/>
      </w:rPr>
      <w:start w:val="1"/>
      <w:suff w:val="tab"/>
    </w:lvl>
    <w:lvl w:ilvl="5">
      <w:isLgl w:val="false"/>
      <w:lvlJc w:val="left"/>
      <w:lvlText w:val="(%6)"/>
      <w:numFmt w:val="lowerRoman"/>
      <w:pPr>
        <w:pBdr/>
        <w:tabs>
          <w:tab w:val="num" w:leader="none" w:pos="2520"/>
        </w:tabs>
        <w:spacing/>
        <w:ind w:hanging="360" w:left="2520"/>
      </w:pPr>
      <w:rPr>
        <w:rFonts w:hint="default"/>
      </w:rPr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>
        <w:rFonts w:hint="default"/>
      </w:rPr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3240"/>
        </w:tabs>
        <w:spacing/>
        <w:ind w:hanging="360" w:left="3240"/>
      </w:pPr>
      <w:rPr>
        <w:rFonts w:hint="default"/>
      </w:rPr>
      <w:start w:val="1"/>
      <w:suff w:val="tab"/>
    </w:lvl>
    <w:lvl w:ilvl="8">
      <w:isLgl w:val="false"/>
      <w:lvlJc w:val="left"/>
      <w:lvlText w:val="%9."/>
      <w:numFmt w:val="lowerRoman"/>
      <w:pPr>
        <w:pBdr/>
        <w:tabs>
          <w:tab w:val="num" w:leader="none" w:pos="3600"/>
        </w:tabs>
        <w:spacing/>
        <w:ind w:hanging="360" w:left="3600"/>
      </w:pPr>
      <w:rPr>
        <w:rFonts w:hint="default"/>
      </w:rPr>
      <w:start w:val="1"/>
      <w:suff w:val="tab"/>
    </w:lvl>
  </w:abstractNum>
  <w:abstractNum w:abstractNumId="23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 w:eastAsia="Times New Roman" w:cs="Arial"/>
      </w:rPr>
      <w:start w:val="3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5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7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8">
    <w:lvl w:ilvl="0">
      <w:isLgl w:val="false"/>
      <w:lvlJc w:val="left"/>
      <w:lvlText w:val="%1)"/>
      <w:numFmt w:val="lowerLetter"/>
      <w:pPr>
        <w:pBdr/>
        <w:spacing/>
        <w:ind w:hanging="360" w:left="1065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5"/>
      </w:pPr>
      <w:rPr/>
      <w:start w:val="1"/>
      <w:suff w:val="tab"/>
    </w:lvl>
  </w:abstractNum>
  <w:abstractNum w:abstractNumId="29">
    <w:lvl w:ilvl="0">
      <w:isLgl w:val="false"/>
      <w:lvlJc w:val="left"/>
      <w:lvlText w:val=""/>
      <w:numFmt w:val="bullet"/>
      <w:pPr>
        <w:pBdr/>
        <w:spacing/>
        <w:ind w:hanging="360" w:left="768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8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208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928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4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68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88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80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528"/>
      </w:pPr>
      <w:rPr>
        <w:rFonts w:hint="default" w:ascii="Wingdings" w:hAnsi="Wingdings"/>
      </w:rPr>
      <w:start w:val="1"/>
      <w:suff w:val="tab"/>
    </w:lvl>
  </w:abstractNum>
  <w:abstractNum w:abstractNumId="30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1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3">
    <w:lvl w:ilvl="0">
      <w:isLgl w:val="false"/>
      <w:lvlJc w:val="left"/>
      <w:lvlText w:val="%1)"/>
      <w:numFmt w:val="lowerLetter"/>
      <w:pPr>
        <w:pBdr/>
        <w:spacing/>
        <w:ind w:hanging="360" w:left="90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6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3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0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7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5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2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9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660"/>
      </w:pPr>
      <w:rPr/>
      <w:start w:val="1"/>
      <w:suff w:val="tab"/>
    </w:lvl>
  </w:abstractNum>
  <w:abstractNum w:abstractNumId="34">
    <w:lvl w:ilvl="0">
      <w:isLgl w:val="false"/>
      <w:lvlJc w:val="left"/>
      <w:lvlText w:val="%1)"/>
      <w:numFmt w:val="lowerLetter"/>
      <w:pPr>
        <w:pBdr/>
        <w:spacing/>
        <w:ind w:hanging="360" w:left="90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6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3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0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7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5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2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9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660"/>
      </w:pPr>
      <w:rPr/>
      <w:start w:val="1"/>
      <w:suff w:val="tab"/>
    </w:lvl>
  </w:abstractNum>
  <w:abstractNum w:abstractNumId="35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6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7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8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9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0">
    <w:lvl w:ilvl="0">
      <w:isLgl w:val="false"/>
      <w:lvlJc w:val="left"/>
      <w:lvlText w:val="%1)"/>
      <w:numFmt w:val="lowerRoman"/>
      <w:pPr>
        <w:pBdr/>
        <w:spacing/>
        <w:ind w:hanging="720" w:left="108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1">
    <w:lvl w:ilvl="0">
      <w:isLgl w:val="false"/>
      <w:lvlJc w:val="left"/>
      <w:lvlText w:val="A.%1"/>
      <w:numFmt w:val="decimal"/>
      <w:pPr>
        <w:pBdr/>
        <w:spacing/>
        <w:ind w:hanging="360" w:left="360"/>
      </w:pPr>
      <w:rPr>
        <w:rFonts w:hint="default" w:ascii="Arial" w:hAnsi="Arial"/>
        <w:sz w:val="22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2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3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4">
    <w:lvl w:ilvl="0">
      <w:isLgl w:val="false"/>
      <w:lvlJc w:val="left"/>
      <w:lvlText w:val="%1)"/>
      <w:numFmt w:val="lowerLetter"/>
      <w:pPr>
        <w:pBdr/>
        <w:spacing/>
        <w:ind w:hanging="360" w:left="1146"/>
      </w:pPr>
      <w:pStyle w:val="802"/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tab"/>
    </w:lvl>
  </w:abstractNum>
  <w:abstractNum w:abstractNumId="45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6">
    <w:lvl w:ilvl="0">
      <w:isLgl w:val="false"/>
      <w:lvlJc w:val="left"/>
      <w:lvlText w:val="%1)"/>
      <w:numFmt w:val="lowerLetter"/>
      <w:pPr>
        <w:pBdr/>
        <w:spacing/>
        <w:ind w:hanging="360" w:left="1146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86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8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0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2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74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46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8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06"/>
      </w:pPr>
      <w:rPr/>
      <w:start w:val="1"/>
      <w:suff w:val="tab"/>
    </w:lvl>
  </w:abstractNum>
  <w:abstractNum w:abstractNumId="47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 w:eastAsia="Times New Roman" w:cs="Arial"/>
      </w:rPr>
      <w:start w:val="3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8">
    <w:lvl w:ilvl="0">
      <w:isLgl w:val="false"/>
      <w:lvlJc w:val="left"/>
      <w:lvlText w:val="-"/>
      <w:numFmt w:val="bullet"/>
      <w:pPr>
        <w:pBdr/>
        <w:spacing/>
        <w:ind w:hanging="360" w:left="420"/>
      </w:pPr>
      <w:rPr>
        <w:rFonts w:hint="default" w:ascii="Arial" w:hAnsi="Arial" w:eastAsia="Times New Roman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1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3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0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7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80"/>
      </w:pPr>
      <w:rPr>
        <w:rFonts w:hint="default" w:ascii="Wingdings" w:hAnsi="Wingdings"/>
      </w:rPr>
      <w:start w:val="1"/>
      <w:suff w:val="tab"/>
    </w:lvl>
  </w:abstractNum>
  <w:num w:numId="1">
    <w:abstractNumId w:val="2"/>
  </w:num>
  <w:num w:numId="2">
    <w:abstractNumId w:val="2"/>
  </w:num>
  <w:num w:numId="3">
    <w:abstractNumId w:val="22"/>
  </w:num>
  <w:num w:numId="4">
    <w:abstractNumId w:val="22"/>
  </w:num>
  <w:num w:numId="5">
    <w:abstractNumId w:val="3"/>
  </w:num>
  <w:num w:numId="6">
    <w:abstractNumId w:val="18"/>
  </w:num>
  <w:num w:numId="7">
    <w:abstractNumId w:val="19"/>
  </w:num>
  <w:num w:numId="8">
    <w:abstractNumId w:val="10"/>
  </w:num>
  <w:num w:numId="9">
    <w:abstractNumId w:val="11"/>
  </w:num>
  <w:num w:numId="10">
    <w:abstractNumId w:val="10"/>
    <w:lvlOverride w:ilvl="0">
      <w:startOverride w:val="1"/>
    </w:lvlOverride>
  </w:num>
  <w:num w:numId="11">
    <w:abstractNumId w:val="4"/>
  </w:num>
  <w:num w:numId="12">
    <w:abstractNumId w:val="17"/>
  </w:num>
  <w:num w:numId="13">
    <w:abstractNumId w:val="31"/>
  </w:num>
  <w:num w:numId="14">
    <w:abstractNumId w:val="15"/>
  </w:num>
  <w:num w:numId="15">
    <w:abstractNumId w:val="10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25"/>
  </w:num>
  <w:num w:numId="21">
    <w:abstractNumId w:val="9"/>
  </w:num>
  <w:num w:numId="22">
    <w:abstractNumId w:val="14"/>
  </w:num>
  <w:num w:numId="23">
    <w:abstractNumId w:val="10"/>
    <w:lvlOverride w:ilvl="0">
      <w:startOverride w:val="1"/>
    </w:lvlOverride>
  </w:num>
  <w:num w:numId="24">
    <w:abstractNumId w:val="8"/>
  </w:num>
  <w:num w:numId="25">
    <w:abstractNumId w:val="10"/>
    <w:lvlOverride w:ilvl="0">
      <w:startOverride w:val="1"/>
    </w:lvlOverride>
  </w:num>
  <w:num w:numId="26">
    <w:abstractNumId w:val="20"/>
  </w:num>
  <w:num w:numId="27">
    <w:abstractNumId w:val="10"/>
    <w:lvlOverride w:ilvl="0">
      <w:startOverride w:val="1"/>
    </w:lvlOverride>
  </w:num>
  <w:num w:numId="28">
    <w:abstractNumId w:val="21"/>
  </w:num>
  <w:num w:numId="29">
    <w:abstractNumId w:val="10"/>
    <w:lvlOverride w:ilvl="0">
      <w:startOverride w:val="1"/>
    </w:lvlOverride>
  </w:num>
  <w:num w:numId="30">
    <w:abstractNumId w:val="26"/>
  </w:num>
  <w:num w:numId="31">
    <w:abstractNumId w:val="10"/>
    <w:lvlOverride w:ilvl="0">
      <w:startOverride w:val="1"/>
    </w:lvlOverride>
  </w:num>
  <w:num w:numId="32">
    <w:abstractNumId w:val="27"/>
  </w:num>
  <w:num w:numId="33">
    <w:abstractNumId w:val="6"/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7"/>
  </w:num>
  <w:num w:numId="37">
    <w:abstractNumId w:val="10"/>
    <w:lvlOverride w:ilvl="0">
      <w:startOverride w:val="1"/>
    </w:lvlOverride>
  </w:num>
  <w:num w:numId="38">
    <w:abstractNumId w:val="28"/>
  </w:num>
  <w:num w:numId="39">
    <w:abstractNumId w:val="1"/>
  </w:num>
  <w:num w:numId="40">
    <w:abstractNumId w:val="10"/>
    <w:lvlOverride w:ilvl="0">
      <w:startOverride w:val="1"/>
    </w:lvlOverride>
  </w:num>
  <w:num w:numId="41">
    <w:abstractNumId w:val="10"/>
    <w:lvlOverride w:ilvl="0">
      <w:startOverride w:val="1"/>
    </w:lvlOverride>
  </w:num>
  <w:num w:numId="42">
    <w:abstractNumId w:val="16"/>
  </w:num>
  <w:num w:numId="43">
    <w:abstractNumId w:val="10"/>
    <w:lvlOverride w:ilvl="0">
      <w:startOverride w:val="1"/>
    </w:lvlOverride>
  </w:num>
  <w:num w:numId="44">
    <w:abstractNumId w:val="30"/>
  </w:num>
  <w:num w:numId="45">
    <w:abstractNumId w:val="5"/>
  </w:num>
  <w:num w:numId="46">
    <w:abstractNumId w:val="13"/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29"/>
  </w:num>
  <w:num w:numId="50">
    <w:abstractNumId w:val="12"/>
  </w:num>
  <w:num w:numId="51">
    <w:abstractNumId w:val="24"/>
  </w:num>
  <w:num w:numId="52">
    <w:abstractNumId w:val="23"/>
  </w:num>
  <w:num w:numId="53">
    <w:abstractNumId w:val="0"/>
  </w:num>
  <w:num w:numId="54">
    <w:abstractNumId w:val="13"/>
  </w:num>
  <w:num w:numId="55">
    <w:abstractNumId w:val="32"/>
  </w:num>
  <w:num w:numId="56">
    <w:abstractNumId w:val="34"/>
  </w:num>
  <w:num w:numId="57">
    <w:abstractNumId w:val="34"/>
    <w:lvlOverride w:ilvl="0">
      <w:startOverride w:val="1"/>
    </w:lvlOverride>
  </w:num>
  <w:num w:numId="58">
    <w:abstractNumId w:val="35"/>
  </w:num>
  <w:num w:numId="59">
    <w:abstractNumId w:val="36"/>
  </w:num>
  <w:num w:numId="60">
    <w:abstractNumId w:val="37"/>
  </w:num>
  <w:num w:numId="61">
    <w:abstractNumId w:val="38"/>
  </w:num>
  <w:num w:numId="62">
    <w:abstractNumId w:val="39"/>
  </w:num>
  <w:num w:numId="63">
    <w:abstractNumId w:val="40"/>
  </w:num>
  <w:num w:numId="64">
    <w:abstractNumId w:val="41"/>
  </w:num>
  <w:num w:numId="65">
    <w:abstractNumId w:val="42"/>
  </w:num>
  <w:num w:numId="66">
    <w:abstractNumId w:val="43"/>
  </w:num>
  <w:num w:numId="67">
    <w:abstractNumId w:val="44"/>
  </w:num>
  <w:num w:numId="68">
    <w:abstractNumId w:val="45"/>
  </w:num>
  <w:num w:numId="69">
    <w:abstractNumId w:val="46"/>
  </w:num>
  <w:num w:numId="70">
    <w:abstractNumId w:val="47"/>
  </w:num>
  <w:num w:numId="7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cs-CZ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3"/>
    <w:link w:val="800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3"/>
    <w:link w:val="801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803"/>
    <w:link w:val="802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99"/>
    <w:next w:val="799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03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99"/>
    <w:next w:val="799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3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99"/>
    <w:next w:val="799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3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99"/>
    <w:next w:val="799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3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99"/>
    <w:next w:val="799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3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99"/>
    <w:next w:val="799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3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799"/>
    <w:next w:val="799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803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799"/>
    <w:next w:val="799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803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799"/>
    <w:next w:val="799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799"/>
    <w:next w:val="799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803"/>
    <w:link w:val="808"/>
    <w:uiPriority w:val="99"/>
    <w:pPr>
      <w:pBdr/>
      <w:spacing/>
      <w:ind/>
    </w:pPr>
  </w:style>
  <w:style w:type="character" w:styleId="45">
    <w:name w:val="Footer Char"/>
    <w:basedOn w:val="803"/>
    <w:link w:val="809"/>
    <w:uiPriority w:val="99"/>
    <w:pPr>
      <w:pBdr/>
      <w:spacing/>
      <w:ind/>
    </w:pPr>
  </w:style>
  <w:style w:type="paragraph" w:styleId="46">
    <w:name w:val="Caption"/>
    <w:basedOn w:val="799"/>
    <w:next w:val="79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09"/>
    <w:uiPriority w:val="99"/>
    <w:pPr>
      <w:pBdr/>
      <w:spacing/>
      <w:ind/>
    </w:pPr>
  </w:style>
  <w:style w:type="table" w:styleId="49">
    <w:name w:val="Table Grid Light"/>
    <w:basedOn w:val="80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80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80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8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8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8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8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8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8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80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80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80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799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803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799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803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toc 4"/>
    <w:basedOn w:val="799"/>
    <w:next w:val="799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799"/>
    <w:next w:val="799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799"/>
    <w:next w:val="799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799"/>
    <w:next w:val="799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799"/>
    <w:next w:val="799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799"/>
    <w:next w:val="799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799"/>
    <w:next w:val="799"/>
    <w:uiPriority w:val="99"/>
    <w:unhideWhenUsed/>
    <w:pPr>
      <w:pBdr/>
      <w:spacing w:after="0" w:afterAutospacing="0"/>
      <w:ind/>
    </w:pPr>
  </w:style>
  <w:style w:type="paragraph" w:styleId="799" w:default="1">
    <w:name w:val="Normal"/>
    <w:qFormat/>
    <w:pPr>
      <w:pBdr/>
      <w:spacing/>
      <w:ind/>
    </w:pPr>
    <w:rPr>
      <w:rFonts w:ascii="Arial" w:hAnsi="Arial"/>
      <w:sz w:val="22"/>
      <w:szCs w:val="22"/>
    </w:rPr>
  </w:style>
  <w:style w:type="paragraph" w:styleId="800">
    <w:name w:val="Heading 1"/>
    <w:basedOn w:val="799"/>
    <w:next w:val="799"/>
    <w:qFormat/>
    <w:pPr>
      <w:keepNext w:val="true"/>
      <w:numPr>
        <w:ilvl w:val="0"/>
        <w:numId w:val="14"/>
      </w:numPr>
      <w:pBdr/>
      <w:shd w:val="pct20" w:color="auto" w:fill="auto"/>
      <w:spacing w:line="0" w:lineRule="atLeast"/>
      <w:ind/>
      <w:jc w:val="both"/>
      <w:outlineLvl w:val="0"/>
    </w:pPr>
    <w:rPr>
      <w:rFonts w:eastAsiaTheme="minorHAnsi"/>
      <w:b/>
      <w:szCs w:val="20"/>
      <w:u w:val="single"/>
      <w:lang w:eastAsia="cs-CZ"/>
    </w:rPr>
  </w:style>
  <w:style w:type="paragraph" w:styleId="801">
    <w:name w:val="Heading 2"/>
    <w:basedOn w:val="799"/>
    <w:next w:val="799"/>
    <w:qFormat/>
    <w:pPr>
      <w:keepNext w:val="true"/>
      <w:pBdr/>
      <w:spacing w:line="0" w:lineRule="atLeast"/>
      <w:ind/>
      <w:jc w:val="both"/>
      <w:outlineLvl w:val="1"/>
    </w:pPr>
    <w:rPr>
      <w:rFonts w:cs="Arial"/>
      <w:b/>
      <w:szCs w:val="20"/>
      <w:u w:val="single"/>
    </w:rPr>
  </w:style>
  <w:style w:type="paragraph" w:styleId="802">
    <w:name w:val="Heading 3"/>
    <w:basedOn w:val="799"/>
    <w:next w:val="799"/>
    <w:link w:val="818"/>
    <w:qFormat/>
    <w:pPr>
      <w:keepNext w:val="true"/>
      <w:numPr>
        <w:ilvl w:val="0"/>
        <w:numId w:val="46"/>
      </w:numPr>
      <w:pBdr/>
      <w:spacing w:line="0" w:lineRule="atLeast"/>
      <w:ind/>
      <w:outlineLvl w:val="2"/>
    </w:pPr>
    <w:rPr>
      <w:rFonts w:cs="Arial" w:eastAsiaTheme="minorHAnsi"/>
      <w:bCs/>
    </w:rPr>
  </w:style>
  <w:style w:type="character" w:styleId="803" w:default="1">
    <w:name w:val="Default Paragraph Font"/>
    <w:uiPriority w:val="1"/>
    <w:unhideWhenUsed/>
    <w:pPr>
      <w:pBdr/>
      <w:spacing/>
      <w:ind/>
    </w:pPr>
  </w:style>
  <w:style w:type="table" w:styleId="80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05" w:default="1">
    <w:name w:val="No List"/>
    <w:uiPriority w:val="99"/>
    <w:semiHidden/>
    <w:unhideWhenUsed/>
    <w:pPr>
      <w:pBdr/>
      <w:spacing/>
      <w:ind/>
    </w:pPr>
  </w:style>
  <w:style w:type="paragraph" w:styleId="806" w:customStyle="1">
    <w:name w:val="Styl1"/>
    <w:basedOn w:val="799"/>
    <w:pPr>
      <w:pBdr/>
      <w:spacing/>
      <w:ind/>
      <w:jc w:val="both"/>
    </w:pPr>
  </w:style>
  <w:style w:type="paragraph" w:styleId="807" w:customStyle="1">
    <w:name w:val="Styl Nadpis 1 + Bez podtržení"/>
    <w:basedOn w:val="800"/>
    <w:pPr>
      <w:pBdr/>
      <w:tabs>
        <w:tab w:val="left" w:leader="none" w:pos="851"/>
      </w:tabs>
      <w:spacing/>
      <w:ind/>
    </w:pPr>
  </w:style>
  <w:style w:type="paragraph" w:styleId="808">
    <w:name w:val="Header"/>
    <w:basedOn w:val="799"/>
    <w:semiHidden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09">
    <w:name w:val="Footer"/>
    <w:basedOn w:val="799"/>
    <w:link w:val="823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10">
    <w:name w:val="toc 1"/>
    <w:basedOn w:val="799"/>
    <w:next w:val="799"/>
    <w:uiPriority w:val="39"/>
    <w:pPr>
      <w:pBdr/>
      <w:tabs>
        <w:tab w:val="left" w:leader="none" w:pos="540"/>
        <w:tab w:val="right" w:leader="dot" w:pos="9060"/>
      </w:tabs>
      <w:spacing/>
      <w:ind w:hanging="567" w:left="567"/>
    </w:pPr>
    <w:rPr>
      <w:sz w:val="18"/>
    </w:rPr>
  </w:style>
  <w:style w:type="paragraph" w:styleId="811">
    <w:name w:val="toc 2"/>
    <w:basedOn w:val="799"/>
    <w:next w:val="799"/>
    <w:uiPriority w:val="39"/>
    <w:pPr>
      <w:pBdr/>
      <w:tabs>
        <w:tab w:val="left" w:leader="none" w:pos="720"/>
        <w:tab w:val="left" w:leader="none" w:pos="1100"/>
        <w:tab w:val="right" w:leader="dot" w:pos="9060"/>
      </w:tabs>
      <w:spacing/>
      <w:ind w:hanging="500" w:left="720"/>
    </w:pPr>
    <w:rPr>
      <w:sz w:val="18"/>
    </w:rPr>
  </w:style>
  <w:style w:type="character" w:styleId="812">
    <w:name w:val="Hyperlink"/>
    <w:basedOn w:val="803"/>
    <w:uiPriority w:val="99"/>
    <w:pPr>
      <w:pBdr/>
      <w:spacing/>
      <w:ind/>
    </w:pPr>
    <w:rPr>
      <w:color w:val="0000ff"/>
      <w:u w:val="single"/>
    </w:rPr>
  </w:style>
  <w:style w:type="paragraph" w:styleId="813">
    <w:name w:val="toc 3"/>
    <w:basedOn w:val="799"/>
    <w:next w:val="799"/>
    <w:uiPriority w:val="39"/>
    <w:pPr>
      <w:pBdr/>
      <w:tabs>
        <w:tab w:val="left" w:leader="none" w:pos="851"/>
        <w:tab w:val="right" w:leader="dot" w:pos="9060"/>
      </w:tabs>
      <w:spacing w:line="0" w:lineRule="atLeast"/>
      <w:ind w:hanging="409" w:left="851"/>
    </w:pPr>
    <w:rPr>
      <w:sz w:val="18"/>
    </w:rPr>
  </w:style>
  <w:style w:type="paragraph" w:styleId="814">
    <w:name w:val="Balloon Text"/>
    <w:basedOn w:val="799"/>
    <w:link w:val="815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815" w:customStyle="1">
    <w:name w:val="Text bubliny Char"/>
    <w:basedOn w:val="803"/>
    <w:link w:val="814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816">
    <w:name w:val="List Paragraph"/>
    <w:basedOn w:val="799"/>
    <w:uiPriority w:val="34"/>
    <w:qFormat/>
    <w:pPr>
      <w:pBdr/>
      <w:spacing/>
      <w:ind w:left="720"/>
      <w:contextualSpacing w:val="true"/>
    </w:pPr>
  </w:style>
  <w:style w:type="table" w:styleId="817">
    <w:name w:val="Table Grid"/>
    <w:basedOn w:val="804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8" w:customStyle="1">
    <w:name w:val="Nadpis 3 Char"/>
    <w:basedOn w:val="803"/>
    <w:link w:val="802"/>
    <w:pPr>
      <w:pBdr/>
      <w:spacing/>
      <w:ind/>
    </w:pPr>
    <w:rPr>
      <w:rFonts w:ascii="Arial" w:hAnsi="Arial" w:cs="Arial" w:eastAsiaTheme="minorHAnsi"/>
      <w:bCs/>
      <w:sz w:val="22"/>
      <w:szCs w:val="22"/>
    </w:rPr>
  </w:style>
  <w:style w:type="paragraph" w:styleId="819" w:customStyle="1">
    <w:name w:val="Default"/>
    <w:pPr>
      <w:pBdr/>
      <w:spacing/>
      <w:ind/>
    </w:pPr>
    <w:rPr>
      <w:rFonts w:ascii="Arial" w:hAnsi="Arial" w:cs="Arial" w:eastAsiaTheme="minorHAnsi"/>
      <w:color w:val="000000"/>
      <w:sz w:val="24"/>
      <w:szCs w:val="24"/>
      <w14:ligatures w14:val="standardContextual"/>
    </w:rPr>
  </w:style>
  <w:style w:type="character" w:styleId="820">
    <w:name w:val="Unresolved Mention"/>
    <w:basedOn w:val="803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821">
    <w:name w:val="Body Text"/>
    <w:basedOn w:val="799"/>
    <w:link w:val="822"/>
    <w:pPr>
      <w:pBdr/>
      <w:spacing w:after="120"/>
      <w:ind/>
      <w:jc w:val="both"/>
    </w:pPr>
    <w:rPr>
      <w:lang w:eastAsia="cs-CZ"/>
    </w:rPr>
  </w:style>
  <w:style w:type="character" w:styleId="822" w:customStyle="1">
    <w:name w:val="Základní text Char"/>
    <w:basedOn w:val="803"/>
    <w:link w:val="821"/>
    <w:pPr>
      <w:pBdr/>
      <w:spacing/>
      <w:ind/>
    </w:pPr>
    <w:rPr>
      <w:rFonts w:ascii="Arial" w:hAnsi="Arial"/>
      <w:sz w:val="22"/>
      <w:szCs w:val="22"/>
      <w:lang w:eastAsia="cs-CZ"/>
    </w:rPr>
  </w:style>
  <w:style w:type="character" w:styleId="823" w:customStyle="1">
    <w:name w:val="Zápatí Char"/>
    <w:basedOn w:val="803"/>
    <w:link w:val="809"/>
    <w:uiPriority w:val="99"/>
    <w:pPr>
      <w:pBdr/>
      <w:spacing/>
      <w:ind/>
    </w:pPr>
    <w:rPr>
      <w:rFonts w:ascii="Arial" w:hAnsi="Arial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about:blan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about:blank" TargetMode="External"/></Relationships>
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2A78F-08E0-42BD-9DF5-18295F64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SATER - PROJEKT s.r.o.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B Souhrnná technická zpráva</dc:title>
  <dc:creator>zdenek.dobias@sater-projekt.cz</dc:creator>
  <cp:revision>29</cp:revision>
  <dcterms:created xsi:type="dcterms:W3CDTF">2024-05-29T12:28:00Z</dcterms:created>
  <dcterms:modified xsi:type="dcterms:W3CDTF">2024-07-21T11:29:22Z</dcterms:modified>
</cp:coreProperties>
</file>