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6246A50C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AC12EA" w:rsidRPr="00AC12EA">
        <w:rPr>
          <w:rFonts w:asciiTheme="minorHAnsi" w:hAnsiTheme="minorHAnsi" w:cstheme="minorHAnsi"/>
          <w:b/>
          <w:sz w:val="28"/>
          <w:szCs w:val="28"/>
        </w:rPr>
        <w:t>II/214 a II/606 Cheb, křižovatka Evropská – Ašská – Pražská, zvýšení kapacity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30A0C6AF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AC12EA" w:rsidRPr="00AC12EA">
        <w:rPr>
          <w:rFonts w:ascii="Book Antiqua" w:eastAsia="Arial" w:hAnsi="Book Antiqua" w:cs="Arial"/>
          <w:b/>
          <w:bCs/>
        </w:rPr>
        <w:t>II/214 a II/606 Cheb, křižovatka Evropská – Ašská – Pražská, zvýšení kapacity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>. Tento standard popisuje API ve strojově čitelném formátu. Díky tomu lze jednoduše vytvořit propojení s jinými nástroji (programy), které toto rozhraní dokáží využít.</w:t>
      </w:r>
    </w:p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Bližší informace ke standardu </w:t>
      </w:r>
      <w:proofErr w:type="spellStart"/>
      <w:r>
        <w:rPr>
          <w:rFonts w:ascii="Book Antiqua" w:eastAsia="Arial" w:hAnsi="Book Antiqua" w:cs="Arial"/>
        </w:rPr>
        <w:t>OpenAPI</w:t>
      </w:r>
      <w:proofErr w:type="spellEnd"/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2" w:name="_Toc65664796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2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1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r w:rsidRPr="008A3642">
        <w:rPr>
          <w:rFonts w:ascii="Book Antiqua" w:eastAsia="Arial" w:hAnsi="Book Antiqua" w:cs="Arial"/>
        </w:rPr>
        <w:t>, .</w:t>
      </w:r>
      <w:proofErr w:type="spellStart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1E128380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C12EA" w:rsidRPr="00AC12EA">
        <w:rPr>
          <w:rFonts w:ascii="Book Antiqua" w:eastAsia="Arial" w:hAnsi="Book Antiqua" w:cs="Arial"/>
        </w:rPr>
        <w:t>II/214 a II/606 Cheb, křižovatka Evropská – Ašská – Pražská, zvýšení kapacity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7CDFD8BF" w:rsidR="00724646" w:rsidRDefault="00387950" w:rsidP="00995AE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C12EA" w:rsidRPr="00AC12EA">
        <w:rPr>
          <w:rFonts w:ascii="Book Antiqua" w:eastAsia="Arial" w:hAnsi="Book Antiqua" w:cs="Arial"/>
        </w:rPr>
        <w:t>II/214 a II/606 Cheb, křižovatka Evropská – Ašská – Pražská, zvýšení kapacity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F5F6A" w14:textId="77777777" w:rsidR="000D2B3D" w:rsidRDefault="000D2B3D" w:rsidP="009D02D2">
      <w:pPr>
        <w:spacing w:after="0" w:line="240" w:lineRule="auto"/>
      </w:pPr>
      <w:r>
        <w:separator/>
      </w:r>
    </w:p>
  </w:endnote>
  <w:endnote w:type="continuationSeparator" w:id="0">
    <w:p w14:paraId="46FE8C80" w14:textId="77777777" w:rsidR="000D2B3D" w:rsidRDefault="000D2B3D" w:rsidP="009D02D2">
      <w:pPr>
        <w:spacing w:after="0" w:line="240" w:lineRule="auto"/>
      </w:pPr>
      <w:r>
        <w:continuationSeparator/>
      </w:r>
    </w:p>
  </w:endnote>
  <w:endnote w:type="continuationNotice" w:id="1">
    <w:p w14:paraId="550DDBD2" w14:textId="77777777" w:rsidR="000D2B3D" w:rsidRDefault="000D2B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09D7C" w14:textId="77777777" w:rsidR="000D2B3D" w:rsidRDefault="000D2B3D" w:rsidP="009D02D2">
      <w:pPr>
        <w:spacing w:after="0" w:line="240" w:lineRule="auto"/>
      </w:pPr>
      <w:r>
        <w:separator/>
      </w:r>
    </w:p>
  </w:footnote>
  <w:footnote w:type="continuationSeparator" w:id="0">
    <w:p w14:paraId="1C579F4B" w14:textId="77777777" w:rsidR="000D2B3D" w:rsidRDefault="000D2B3D" w:rsidP="009D02D2">
      <w:pPr>
        <w:spacing w:after="0" w:line="240" w:lineRule="auto"/>
      </w:pPr>
      <w:r>
        <w:continuationSeparator/>
      </w:r>
    </w:p>
  </w:footnote>
  <w:footnote w:type="continuationNotice" w:id="1">
    <w:p w14:paraId="16B74332" w14:textId="77777777" w:rsidR="000D2B3D" w:rsidRDefault="000D2B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09EC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2B3D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5AC8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53F7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076E6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1500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5AD"/>
    <w:rsid w:val="0053386F"/>
    <w:rsid w:val="0053496D"/>
    <w:rsid w:val="00541393"/>
    <w:rsid w:val="00541582"/>
    <w:rsid w:val="0054229D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3C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1E4D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AE0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05DB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12EA"/>
    <w:rsid w:val="00AC3FF9"/>
    <w:rsid w:val="00AC453C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5850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455C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198E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2D8C6"/>
  <w15:docId w15:val="{FBC16E71-7DF1-4A13-921D-A3301738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1054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Kesl Tomáš</cp:lastModifiedBy>
  <cp:revision>4</cp:revision>
  <dcterms:created xsi:type="dcterms:W3CDTF">2022-03-08T11:30:00Z</dcterms:created>
  <dcterms:modified xsi:type="dcterms:W3CDTF">2026-02-04T06:50:00Z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