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343A" w14:textId="04B777EF" w:rsidR="00E46ED4" w:rsidRPr="00FE34ED" w:rsidRDefault="00CC2DAA" w:rsidP="005A0C1D">
      <w:pPr>
        <w:pStyle w:val="Nadpis5"/>
        <w:spacing w:before="240" w:after="120"/>
        <w:rPr>
          <w:rFonts w:ascii="Arial" w:hAnsi="Arial" w:cs="Arial"/>
          <w:spacing w:val="40"/>
          <w:szCs w:val="24"/>
        </w:rPr>
      </w:pPr>
      <w:r w:rsidRPr="00FE34ED">
        <w:rPr>
          <w:rFonts w:ascii="Arial" w:hAnsi="Arial" w:cs="Arial"/>
          <w:spacing w:val="40"/>
          <w:szCs w:val="24"/>
        </w:rPr>
        <w:t>SMLOUVA O DÍLO</w:t>
      </w:r>
    </w:p>
    <w:p w14:paraId="6B4FD3C9" w14:textId="77777777" w:rsidR="00063899" w:rsidRPr="00063899" w:rsidRDefault="00FE34ED" w:rsidP="00063899">
      <w:pPr>
        <w:pStyle w:val="Nadpis5"/>
        <w:spacing w:after="240"/>
        <w:rPr>
          <w:rFonts w:ascii="Arial" w:hAnsi="Arial" w:cs="Arial"/>
          <w:szCs w:val="24"/>
        </w:rPr>
      </w:pPr>
      <w:r w:rsidRPr="00CC2DAA">
        <w:rPr>
          <w:rFonts w:ascii="Arial" w:hAnsi="Arial" w:cs="Arial"/>
          <w:szCs w:val="24"/>
        </w:rPr>
        <w:t xml:space="preserve"> </w:t>
      </w:r>
      <w:bookmarkStart w:id="0" w:name="_Hlk213671666"/>
      <w:r w:rsidR="00063899" w:rsidRPr="00063899">
        <w:rPr>
          <w:rFonts w:ascii="Arial" w:hAnsi="Arial" w:cs="Arial"/>
          <w:szCs w:val="24"/>
        </w:rPr>
        <w:t>Výstavba interaktivního parku v rámci projektu Po stopách historie. Německo-česká kulturní oblast a její kořeny.</w:t>
      </w:r>
    </w:p>
    <w:p w14:paraId="41B82E6D" w14:textId="19ACC63F" w:rsidR="00CC2DAA" w:rsidRDefault="00360C4B" w:rsidP="00063899">
      <w:pPr>
        <w:pStyle w:val="Nadpis5"/>
        <w:spacing w:after="240"/>
        <w:rPr>
          <w:rFonts w:ascii="Arial" w:hAnsi="Arial" w:cs="Arial"/>
          <w:szCs w:val="24"/>
        </w:rPr>
      </w:pPr>
      <w:r w:rsidRPr="00360C4B">
        <w:rPr>
          <w:rFonts w:ascii="Arial" w:hAnsi="Arial" w:cs="Arial"/>
          <w:szCs w:val="24"/>
        </w:rPr>
        <w:t xml:space="preserve">Část </w:t>
      </w:r>
      <w:proofErr w:type="gramStart"/>
      <w:r w:rsidRPr="00360C4B">
        <w:rPr>
          <w:rFonts w:ascii="Arial" w:hAnsi="Arial" w:cs="Arial"/>
          <w:szCs w:val="24"/>
        </w:rPr>
        <w:t>II - Historické</w:t>
      </w:r>
      <w:proofErr w:type="gramEnd"/>
      <w:r w:rsidRPr="00360C4B">
        <w:rPr>
          <w:rFonts w:ascii="Arial" w:hAnsi="Arial" w:cs="Arial"/>
          <w:szCs w:val="24"/>
        </w:rPr>
        <w:t xml:space="preserve"> konstrukce</w:t>
      </w:r>
    </w:p>
    <w:bookmarkEnd w:id="0"/>
    <w:p w14:paraId="0B5FC82A" w14:textId="77777777" w:rsidR="00E87935" w:rsidRPr="00C2244B" w:rsidRDefault="00E87935" w:rsidP="003B6266">
      <w:pPr>
        <w:spacing w:after="240"/>
        <w:rPr>
          <w:rFonts w:ascii="Arial" w:hAnsi="Arial" w:cs="Arial"/>
        </w:rPr>
      </w:pPr>
      <w:r w:rsidRPr="00C2244B">
        <w:rPr>
          <w:rFonts w:ascii="Arial" w:hAnsi="Arial" w:cs="Arial"/>
        </w:rPr>
        <w:t>DNEŠNÍHO DNE, MĚSÍCE A ROKU:</w:t>
      </w:r>
    </w:p>
    <w:p w14:paraId="1BC42568" w14:textId="77777777" w:rsidR="00063899" w:rsidRPr="00063899" w:rsidRDefault="00063899" w:rsidP="006549D8">
      <w:pPr>
        <w:pStyle w:val="Nadpis1"/>
        <w:spacing w:line="276" w:lineRule="auto"/>
        <w:rPr>
          <w:rFonts w:ascii="Arial" w:hAnsi="Arial" w:cs="Arial"/>
          <w:iCs/>
          <w:sz w:val="20"/>
        </w:rPr>
      </w:pPr>
      <w:bookmarkStart w:id="1" w:name="_Hlk214605642"/>
      <w:r w:rsidRPr="00063899">
        <w:rPr>
          <w:rFonts w:ascii="Arial" w:hAnsi="Arial" w:cs="Arial"/>
          <w:iCs/>
          <w:sz w:val="20"/>
        </w:rPr>
        <w:t>Muzeum Cheb, příspěvková organizace Karlovarského kraje</w:t>
      </w:r>
    </w:p>
    <w:p w14:paraId="56A30311" w14:textId="38D040F1" w:rsidR="00460EA5" w:rsidRPr="00460EA5" w:rsidRDefault="00FC331F"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063899" w:rsidRPr="00063899">
        <w:rPr>
          <w:rFonts w:ascii="Arial" w:hAnsi="Arial" w:cs="Arial"/>
          <w:b w:val="0"/>
          <w:iCs/>
          <w:sz w:val="20"/>
        </w:rPr>
        <w:t>nám. Krále Jiřího z Poděbrad 493/4, 350 02 Cheb</w:t>
      </w:r>
    </w:p>
    <w:p w14:paraId="259F759B" w14:textId="55797ACD" w:rsidR="00FC331F" w:rsidRPr="00FE34ED" w:rsidRDefault="00FC331F"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063899" w:rsidRPr="00063899">
        <w:rPr>
          <w:rFonts w:ascii="Arial" w:hAnsi="Arial" w:cs="Arial"/>
          <w:b w:val="0"/>
          <w:iCs/>
          <w:sz w:val="20"/>
        </w:rPr>
        <w:t>00074276</w:t>
      </w:r>
    </w:p>
    <w:p w14:paraId="53E86D78" w14:textId="21058308" w:rsidR="00B55454" w:rsidRDefault="00B55454" w:rsidP="006549D8">
      <w:pPr>
        <w:pStyle w:val="Nadpis1"/>
        <w:tabs>
          <w:tab w:val="left" w:pos="1701"/>
        </w:tabs>
        <w:spacing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00063899" w:rsidRPr="00063899">
        <w:rPr>
          <w:rFonts w:ascii="Arial" w:hAnsi="Arial" w:cs="Arial"/>
          <w:b w:val="0"/>
          <w:iCs/>
          <w:sz w:val="20"/>
        </w:rPr>
        <w:t>ux8kk7n</w:t>
      </w:r>
    </w:p>
    <w:p w14:paraId="716F896A" w14:textId="5C8EEC5A" w:rsidR="00FC331F" w:rsidRPr="00FE34ED" w:rsidRDefault="00FC331F"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387938">
        <w:rPr>
          <w:rFonts w:ascii="Arial" w:hAnsi="Arial" w:cs="Arial"/>
          <w:b w:val="0"/>
          <w:highlight w:val="green"/>
        </w:rPr>
        <w:t>…………</w:t>
      </w:r>
    </w:p>
    <w:p w14:paraId="5EF79AB5" w14:textId="3407A829" w:rsidR="00FC331F" w:rsidRPr="00FE34ED" w:rsidRDefault="00FC331F"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387938">
        <w:rPr>
          <w:rFonts w:ascii="Arial" w:hAnsi="Arial" w:cs="Arial"/>
          <w:b w:val="0"/>
          <w:highlight w:val="green"/>
        </w:rPr>
        <w:t>…………</w:t>
      </w:r>
    </w:p>
    <w:p w14:paraId="5BF70943" w14:textId="46FF5560" w:rsidR="00FC331F" w:rsidRPr="00FE34ED" w:rsidRDefault="00FC331F"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zastoupen</w:t>
      </w:r>
      <w:r w:rsidR="00063899">
        <w:rPr>
          <w:rFonts w:ascii="Arial" w:hAnsi="Arial" w:cs="Arial"/>
          <w:b w:val="0"/>
          <w:iCs/>
          <w:sz w:val="20"/>
        </w:rPr>
        <w:t>é</w:t>
      </w:r>
      <w:r w:rsidRPr="00FE34ED">
        <w:rPr>
          <w:rFonts w:ascii="Arial" w:hAnsi="Arial" w:cs="Arial"/>
          <w:b w:val="0"/>
          <w:iCs/>
          <w:sz w:val="20"/>
        </w:rPr>
        <w:t xml:space="preserve">: </w:t>
      </w:r>
      <w:r w:rsidRPr="00FE34ED">
        <w:rPr>
          <w:rFonts w:ascii="Arial" w:hAnsi="Arial" w:cs="Arial"/>
          <w:b w:val="0"/>
          <w:iCs/>
          <w:sz w:val="20"/>
        </w:rPr>
        <w:tab/>
      </w:r>
      <w:bookmarkStart w:id="2" w:name="_Hlk213671547"/>
      <w:r w:rsidR="00063899" w:rsidRPr="00063899">
        <w:rPr>
          <w:rFonts w:ascii="Arial" w:hAnsi="Arial" w:cs="Arial"/>
          <w:b w:val="0"/>
          <w:iCs/>
          <w:sz w:val="20"/>
        </w:rPr>
        <w:t>Ing. Martina Kubinčan</w:t>
      </w:r>
      <w:r w:rsidR="0089420F">
        <w:rPr>
          <w:rFonts w:ascii="Arial" w:hAnsi="Arial" w:cs="Arial"/>
          <w:b w:val="0"/>
          <w:iCs/>
          <w:sz w:val="20"/>
        </w:rPr>
        <w:t>, ředitel</w:t>
      </w:r>
      <w:r w:rsidR="00063899">
        <w:rPr>
          <w:rFonts w:ascii="Arial" w:hAnsi="Arial" w:cs="Arial"/>
          <w:b w:val="0"/>
          <w:iCs/>
          <w:sz w:val="20"/>
        </w:rPr>
        <w:t>ka</w:t>
      </w:r>
      <w:bookmarkEnd w:id="2"/>
    </w:p>
    <w:bookmarkEnd w:id="1"/>
    <w:p w14:paraId="29F68BEC" w14:textId="77777777" w:rsidR="00FC331F" w:rsidRPr="00C2244B" w:rsidRDefault="00FC331F" w:rsidP="006549D8">
      <w:pPr>
        <w:spacing w:before="120" w:line="276" w:lineRule="auto"/>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6549D8">
      <w:pPr>
        <w:spacing w:before="120" w:after="120" w:line="276" w:lineRule="auto"/>
        <w:rPr>
          <w:rFonts w:ascii="Arial" w:hAnsi="Arial" w:cs="Arial"/>
        </w:rPr>
      </w:pPr>
      <w:r w:rsidRPr="00C2244B">
        <w:rPr>
          <w:rFonts w:ascii="Arial" w:hAnsi="Arial" w:cs="Arial"/>
        </w:rPr>
        <w:t>a</w:t>
      </w:r>
    </w:p>
    <w:p w14:paraId="02A340F2" w14:textId="6591622A" w:rsidR="00D24236" w:rsidRPr="00FE34ED" w:rsidRDefault="001C7899" w:rsidP="006549D8">
      <w:pPr>
        <w:pStyle w:val="Nadpis1"/>
        <w:spacing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7B52C418" w:rsidR="00D24236" w:rsidRDefault="00D24236"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063899">
        <w:rPr>
          <w:rFonts w:ascii="Arial" w:hAnsi="Arial" w:cs="Arial"/>
          <w:b w:val="0"/>
          <w:iCs/>
          <w:sz w:val="20"/>
        </w:rPr>
        <w:t xml:space="preserve"> </w:t>
      </w:r>
      <w:r w:rsidR="00FE34ED" w:rsidRPr="00FE34ED">
        <w:rPr>
          <w:rFonts w:ascii="Arial" w:hAnsi="Arial" w:cs="Arial"/>
          <w:b w:val="0"/>
          <w:iCs/>
          <w:sz w:val="20"/>
          <w:highlight w:val="yellow"/>
        </w:rPr>
        <w:t>……………………</w:t>
      </w:r>
      <w:r w:rsidR="00063899">
        <w:rPr>
          <w:rFonts w:ascii="Arial" w:hAnsi="Arial" w:cs="Arial"/>
          <w:b w:val="0"/>
          <w:iCs/>
          <w:sz w:val="20"/>
          <w:highlight w:val="yellow"/>
        </w:rPr>
        <w:t>.</w:t>
      </w:r>
    </w:p>
    <w:p w14:paraId="241927D7" w14:textId="59068798" w:rsidR="00B55454" w:rsidRDefault="00B55454" w:rsidP="006549D8">
      <w:pPr>
        <w:pStyle w:val="Nadpis1"/>
        <w:tabs>
          <w:tab w:val="left" w:pos="1701"/>
        </w:tabs>
        <w:spacing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6549D8">
      <w:pPr>
        <w:pStyle w:val="Nadpis1"/>
        <w:tabs>
          <w:tab w:val="left" w:pos="1701"/>
        </w:tabs>
        <w:spacing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5D465AB6" w:rsidR="00E46ED4" w:rsidRPr="00C2244B" w:rsidRDefault="00D24236" w:rsidP="006549D8">
      <w:pPr>
        <w:spacing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soudem v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oddíl</w:t>
      </w:r>
      <w:r w:rsidR="00474D8B">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r w:rsidR="001C7899" w:rsidRPr="00474D8B">
        <w:rPr>
          <w:rFonts w:ascii="Arial" w:eastAsiaTheme="minorHAnsi" w:hAnsi="Arial" w:cs="Arial"/>
          <w:color w:val="000000"/>
          <w:highlight w:val="yellow"/>
          <w:lang w:eastAsia="en-US"/>
        </w:rPr>
        <w:t>……</w:t>
      </w:r>
    </w:p>
    <w:p w14:paraId="502E87A3" w14:textId="741AD2D0" w:rsidR="00E46ED4" w:rsidRPr="00C2244B" w:rsidRDefault="00E46ED4" w:rsidP="006549D8">
      <w:pPr>
        <w:pStyle w:val="BodyText21"/>
        <w:widowControl/>
        <w:spacing w:before="120" w:line="276" w:lineRule="auto"/>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6549D8">
      <w:pPr>
        <w:pStyle w:val="BodyText21"/>
        <w:widowControl/>
        <w:spacing w:before="120" w:line="276" w:lineRule="auto"/>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75955D21" w:rsidR="00E87935" w:rsidRPr="00063899" w:rsidRDefault="00E87935" w:rsidP="00063899">
      <w:pPr>
        <w:pStyle w:val="Odstavecseseznamem"/>
        <w:numPr>
          <w:ilvl w:val="0"/>
          <w:numId w:val="1"/>
        </w:numPr>
        <w:spacing w:after="80" w:line="276" w:lineRule="auto"/>
        <w:contextualSpacing w:val="0"/>
        <w:jc w:val="both"/>
        <w:rPr>
          <w:rFonts w:ascii="Arial" w:hAnsi="Arial" w:cs="Arial"/>
        </w:rPr>
      </w:pPr>
      <w:r w:rsidRPr="00063899">
        <w:rPr>
          <w:rFonts w:ascii="Arial" w:hAnsi="Arial" w:cs="Arial"/>
        </w:rPr>
        <w:t xml:space="preserve">Zhotovitel je </w:t>
      </w:r>
      <w:r w:rsidR="00AB5520" w:rsidRPr="00063899">
        <w:rPr>
          <w:rFonts w:ascii="Arial" w:hAnsi="Arial" w:cs="Arial"/>
        </w:rPr>
        <w:t>vybraným dodavatelem</w:t>
      </w:r>
      <w:r w:rsidRPr="00063899">
        <w:rPr>
          <w:rFonts w:ascii="Arial" w:hAnsi="Arial" w:cs="Arial"/>
        </w:rPr>
        <w:t xml:space="preserve"> veřejné zakázky</w:t>
      </w:r>
      <w:r w:rsidR="00E42994" w:rsidRPr="00063899">
        <w:rPr>
          <w:rFonts w:ascii="Arial" w:hAnsi="Arial" w:cs="Arial"/>
        </w:rPr>
        <w:t xml:space="preserve"> </w:t>
      </w:r>
      <w:r w:rsidR="00CC2DAA" w:rsidRPr="00063899">
        <w:rPr>
          <w:rFonts w:ascii="Arial" w:hAnsi="Arial" w:cs="Arial"/>
        </w:rPr>
        <w:t>„</w:t>
      </w:r>
      <w:r w:rsidR="00063899" w:rsidRPr="00063899">
        <w:rPr>
          <w:rFonts w:ascii="Arial" w:hAnsi="Arial" w:cs="Arial"/>
        </w:rPr>
        <w:t xml:space="preserve">Výstavba interaktivního parku v rámci projektu Po stopách historie. Německo-česká kulturní oblast a její kořeny. </w:t>
      </w:r>
      <w:r w:rsidR="001E5BDF" w:rsidRPr="001E5BDF">
        <w:rPr>
          <w:rFonts w:ascii="Arial" w:hAnsi="Arial" w:cs="Arial"/>
        </w:rPr>
        <w:t xml:space="preserve">Část </w:t>
      </w:r>
      <w:proofErr w:type="gramStart"/>
      <w:r w:rsidR="001E5BDF" w:rsidRPr="001E5BDF">
        <w:rPr>
          <w:rFonts w:ascii="Arial" w:hAnsi="Arial" w:cs="Arial"/>
        </w:rPr>
        <w:t>II - Historické</w:t>
      </w:r>
      <w:proofErr w:type="gramEnd"/>
      <w:r w:rsidR="001E5BDF" w:rsidRPr="001E5BDF">
        <w:rPr>
          <w:rFonts w:ascii="Arial" w:hAnsi="Arial" w:cs="Arial"/>
        </w:rPr>
        <w:t xml:space="preserve"> konstrukce</w:t>
      </w:r>
      <w:r w:rsidR="00CC2DAA" w:rsidRPr="00063899">
        <w:rPr>
          <w:rFonts w:ascii="Arial" w:hAnsi="Arial" w:cs="Arial"/>
        </w:rPr>
        <w:t>“</w:t>
      </w:r>
      <w:r w:rsidRPr="00063899">
        <w:rPr>
          <w:rFonts w:ascii="Arial" w:hAnsi="Arial" w:cs="Arial"/>
        </w:rPr>
        <w:t xml:space="preserve"> vyhlášené dne</w:t>
      </w:r>
      <w:r w:rsidR="00461E3A" w:rsidRPr="00063899">
        <w:rPr>
          <w:rFonts w:ascii="Arial" w:hAnsi="Arial" w:cs="Arial"/>
        </w:rPr>
        <w:t xml:space="preserv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846CB5" w:rsidRPr="00063899">
        <w:rPr>
          <w:rFonts w:ascii="Arial" w:hAnsi="Arial" w:cs="Arial"/>
        </w:rPr>
        <w:t>202</w:t>
      </w:r>
      <w:r w:rsidR="00C15C0E">
        <w:rPr>
          <w:rFonts w:ascii="Arial" w:hAnsi="Arial" w:cs="Arial"/>
        </w:rPr>
        <w:t>6</w:t>
      </w:r>
      <w:r w:rsidR="00461E3A" w:rsidRPr="00063899">
        <w:rPr>
          <w:rFonts w:ascii="Arial" w:hAnsi="Arial" w:cs="Arial"/>
        </w:rPr>
        <w:t>.</w:t>
      </w:r>
      <w:r w:rsidRPr="00063899">
        <w:rPr>
          <w:rFonts w:ascii="Arial" w:hAnsi="Arial" w:cs="Arial"/>
        </w:rPr>
        <w:t xml:space="preserve"> </w:t>
      </w:r>
      <w:r w:rsidR="001D3746" w:rsidRPr="00063899">
        <w:rPr>
          <w:rFonts w:ascii="Arial" w:hAnsi="Arial" w:cs="Arial"/>
        </w:rPr>
        <w:t>Karlovarským krajem j</w:t>
      </w:r>
      <w:r w:rsidRPr="00063899">
        <w:rPr>
          <w:rFonts w:ascii="Arial" w:hAnsi="Arial" w:cs="Arial"/>
        </w:rPr>
        <w:t xml:space="preserve">ako </w:t>
      </w:r>
      <w:r w:rsidR="001D3746" w:rsidRPr="00063899">
        <w:rPr>
          <w:rFonts w:ascii="Arial" w:hAnsi="Arial" w:cs="Arial"/>
        </w:rPr>
        <w:t xml:space="preserve">centrálním </w:t>
      </w:r>
      <w:r w:rsidRPr="00063899">
        <w:rPr>
          <w:rFonts w:ascii="Arial" w:hAnsi="Arial" w:cs="Arial"/>
        </w:rPr>
        <w:t xml:space="preserve">zadavatelem veřejné zakázky </w:t>
      </w:r>
      <w:r w:rsidR="00E42994" w:rsidRPr="00063899">
        <w:rPr>
          <w:rFonts w:ascii="Arial" w:hAnsi="Arial" w:cs="Arial"/>
        </w:rPr>
        <w:t xml:space="preserve">malého rozsahu formou </w:t>
      </w:r>
      <w:r w:rsidR="00460EA5" w:rsidRPr="00063899">
        <w:rPr>
          <w:rFonts w:ascii="Arial" w:hAnsi="Arial" w:cs="Arial"/>
        </w:rPr>
        <w:t xml:space="preserve">zadávacího </w:t>
      </w:r>
      <w:r w:rsidR="00E42994" w:rsidRPr="00063899">
        <w:rPr>
          <w:rFonts w:ascii="Arial" w:hAnsi="Arial" w:cs="Arial"/>
        </w:rPr>
        <w:t>řízení</w:t>
      </w:r>
      <w:r w:rsidR="00460EA5" w:rsidRPr="00063899">
        <w:rPr>
          <w:rFonts w:ascii="Arial" w:hAnsi="Arial" w:cs="Arial"/>
        </w:rPr>
        <w:t xml:space="preserve"> otevřeného s výzvou</w:t>
      </w:r>
      <w:r w:rsidR="00E42994" w:rsidRPr="00063899">
        <w:rPr>
          <w:rFonts w:ascii="Arial" w:hAnsi="Arial" w:cs="Arial"/>
        </w:rPr>
        <w:t>.</w:t>
      </w:r>
      <w:r w:rsidR="00B93FB6" w:rsidRPr="00063899">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3"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3"/>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067CA7FC"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35CDEC6" w14:textId="77777777" w:rsidR="00B35A4F" w:rsidRPr="00223810" w:rsidRDefault="00B35A4F" w:rsidP="00B35A4F">
      <w:pPr>
        <w:pStyle w:val="BodyText21"/>
        <w:widowControl/>
        <w:numPr>
          <w:ilvl w:val="0"/>
          <w:numId w:val="3"/>
        </w:numPr>
        <w:spacing w:after="80" w:line="276" w:lineRule="auto"/>
        <w:ind w:left="425" w:hanging="425"/>
        <w:rPr>
          <w:rFonts w:ascii="Arial" w:hAnsi="Arial" w:cs="Arial"/>
          <w:sz w:val="20"/>
        </w:rPr>
      </w:pPr>
      <w:r w:rsidRPr="00223810">
        <w:rPr>
          <w:rFonts w:ascii="Arial" w:hAnsi="Arial" w:cs="Arial"/>
          <w:sz w:val="20"/>
        </w:rPr>
        <w:t>Předmět smlouvy je financován v rámci meziregionálního programu Evropské unie INTERREG Bavorsko – Česko 2021–2027, název projektu</w:t>
      </w:r>
      <w:r>
        <w:rPr>
          <w:rFonts w:ascii="Arial" w:hAnsi="Arial" w:cs="Arial"/>
          <w:sz w:val="20"/>
        </w:rPr>
        <w:t xml:space="preserve"> „</w:t>
      </w:r>
      <w:r w:rsidRPr="00223810">
        <w:rPr>
          <w:rFonts w:ascii="Arial" w:hAnsi="Arial" w:cs="Arial"/>
          <w:sz w:val="20"/>
        </w:rPr>
        <w:t>Po stopách historie. Německo-česká kulturní oblast a její kořeny</w:t>
      </w:r>
      <w:r>
        <w:rPr>
          <w:rFonts w:ascii="Arial" w:hAnsi="Arial" w:cs="Arial"/>
          <w:sz w:val="20"/>
        </w:rPr>
        <w:t>“</w:t>
      </w:r>
      <w:r w:rsidRPr="00223810">
        <w:rPr>
          <w:rFonts w:ascii="Arial" w:hAnsi="Arial" w:cs="Arial"/>
          <w:sz w:val="20"/>
        </w:rPr>
        <w:t xml:space="preserve">, </w:t>
      </w:r>
      <w:r>
        <w:rPr>
          <w:rFonts w:ascii="Arial" w:hAnsi="Arial" w:cs="Arial"/>
          <w:sz w:val="20"/>
        </w:rPr>
        <w:t>č</w:t>
      </w:r>
      <w:r w:rsidRPr="00223810">
        <w:rPr>
          <w:rFonts w:ascii="Arial" w:hAnsi="Arial" w:cs="Arial"/>
          <w:sz w:val="20"/>
        </w:rPr>
        <w:t>íslo projektu BYCZ06-229</w:t>
      </w:r>
      <w:r>
        <w:rPr>
          <w:rFonts w:ascii="Arial" w:hAnsi="Arial" w:cs="Arial"/>
          <w:sz w:val="20"/>
        </w:rPr>
        <w:t xml:space="preserve"> a smluvní strany se řídí jeho pravidly a podmínkami. </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551A76A6"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stavby: </w:t>
      </w:r>
      <w:r w:rsidR="00C15C0E" w:rsidRPr="00C15C0E">
        <w:rPr>
          <w:rFonts w:ascii="Arial" w:hAnsi="Arial" w:cs="Arial"/>
          <w:sz w:val="20"/>
        </w:rPr>
        <w:t xml:space="preserve">„Výstavba interaktivního parku v rámci projektu Po stopách historie. Německo-česká kulturní oblast a její kořeny. Část </w:t>
      </w:r>
      <w:proofErr w:type="gramStart"/>
      <w:r w:rsidR="00C15C0E" w:rsidRPr="00C15C0E">
        <w:rPr>
          <w:rFonts w:ascii="Arial" w:hAnsi="Arial" w:cs="Arial"/>
          <w:sz w:val="20"/>
        </w:rPr>
        <w:t>II - Historické</w:t>
      </w:r>
      <w:proofErr w:type="gramEnd"/>
      <w:r w:rsidR="00C15C0E" w:rsidRPr="00C15C0E">
        <w:rPr>
          <w:rFonts w:ascii="Arial" w:hAnsi="Arial" w:cs="Arial"/>
          <w:sz w:val="20"/>
        </w:rPr>
        <w:t xml:space="preserve"> konstrukce“</w:t>
      </w:r>
      <w:r w:rsidR="00C15C0E">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136EAFD4" w:rsidR="00DF0AAB" w:rsidRPr="00A2538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063899" w:rsidRPr="00063899">
        <w:rPr>
          <w:rFonts w:ascii="Arial" w:hAnsi="Arial" w:cs="Arial"/>
        </w:rPr>
        <w:t xml:space="preserve">Výstavba interaktivního parku v rámci projektu Po stopách historie. Německo-česká kulturní oblast a její kořeny. </w:t>
      </w:r>
      <w:r w:rsidR="001E5BDF" w:rsidRPr="001E5BDF">
        <w:rPr>
          <w:rFonts w:ascii="Arial" w:hAnsi="Arial" w:cs="Arial"/>
        </w:rPr>
        <w:t xml:space="preserve">Část </w:t>
      </w:r>
      <w:proofErr w:type="gramStart"/>
      <w:r w:rsidR="001E5BDF" w:rsidRPr="001E5BDF">
        <w:rPr>
          <w:rFonts w:ascii="Arial" w:hAnsi="Arial" w:cs="Arial"/>
        </w:rPr>
        <w:t>II - Historické</w:t>
      </w:r>
      <w:proofErr w:type="gramEnd"/>
      <w:r w:rsidR="001E5BDF" w:rsidRPr="001E5BDF">
        <w:rPr>
          <w:rFonts w:ascii="Arial" w:hAnsi="Arial" w:cs="Arial"/>
        </w:rPr>
        <w:t xml:space="preserve"> konstrukce</w:t>
      </w:r>
      <w:r w:rsidR="00063899" w:rsidRPr="00063899">
        <w:rPr>
          <w:rFonts w:ascii="Arial" w:hAnsi="Arial" w:cs="Arial"/>
        </w:rPr>
        <w:t>“</w:t>
      </w:r>
      <w:r w:rsidR="00063899">
        <w:rPr>
          <w:rFonts w:ascii="Arial" w:hAnsi="Arial" w:cs="Arial"/>
        </w:rPr>
        <w:t xml:space="preserve"> </w:t>
      </w:r>
      <w:r w:rsidR="00995698" w:rsidRPr="00DC6C1F">
        <w:rPr>
          <w:rFonts w:ascii="Arial" w:hAnsi="Arial" w:cs="Arial"/>
        </w:rPr>
        <w:t xml:space="preserve">ze dne </w:t>
      </w:r>
      <w:proofErr w:type="spellStart"/>
      <w:r w:rsidR="00063899">
        <w:rPr>
          <w:rFonts w:ascii="Arial" w:hAnsi="Arial" w:cs="Arial"/>
          <w:highlight w:val="green"/>
        </w:rPr>
        <w:t>dd</w:t>
      </w:r>
      <w:proofErr w:type="spellEnd"/>
      <w:r w:rsidR="00063899">
        <w:rPr>
          <w:rFonts w:ascii="Arial" w:hAnsi="Arial" w:cs="Arial"/>
          <w:highlight w:val="green"/>
        </w:rPr>
        <w:t>. mm.</w:t>
      </w:r>
      <w:r w:rsidR="006354E6">
        <w:rPr>
          <w:rFonts w:ascii="Arial" w:hAnsi="Arial" w:cs="Arial"/>
        </w:rPr>
        <w:t xml:space="preserve"> </w:t>
      </w:r>
      <w:r w:rsidR="00846CB5" w:rsidRPr="00D24236">
        <w:rPr>
          <w:rFonts w:ascii="Arial" w:hAnsi="Arial" w:cs="Arial"/>
        </w:rPr>
        <w:t>202</w:t>
      </w:r>
      <w:r w:rsidR="00C15C0E">
        <w:rPr>
          <w:rFonts w:ascii="Arial" w:hAnsi="Arial" w:cs="Arial"/>
        </w:rPr>
        <w:t>6</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786927FE" w14:textId="211D10D3"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862298">
        <w:rPr>
          <w:rFonts w:ascii="Arial" w:hAnsi="Arial" w:cs="Arial"/>
        </w:rPr>
        <w:t>2</w:t>
      </w:r>
      <w:r w:rsidR="00D24236">
        <w:rPr>
          <w:rFonts w:ascii="Arial" w:hAnsi="Arial" w:cs="Arial"/>
        </w:rPr>
        <w:t>02</w:t>
      </w:r>
      <w:r w:rsidR="00C15C0E">
        <w:rPr>
          <w:rFonts w:ascii="Arial" w:hAnsi="Arial" w:cs="Arial"/>
        </w:rPr>
        <w:t>6</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734F59C7"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w:t>
      </w:r>
      <w:r w:rsidR="00063899">
        <w:rPr>
          <w:rFonts w:ascii="Arial" w:hAnsi="Arial" w:cs="Arial"/>
        </w:rPr>
        <w:t xml:space="preserve"> </w:t>
      </w:r>
      <w:proofErr w:type="spellStart"/>
      <w:r w:rsidR="00063899">
        <w:rPr>
          <w:rFonts w:ascii="Arial" w:hAnsi="Arial" w:cs="Arial"/>
          <w:highlight w:val="green"/>
        </w:rPr>
        <w:t>dd</w:t>
      </w:r>
      <w:proofErr w:type="spellEnd"/>
      <w:r w:rsidR="00063899">
        <w:rPr>
          <w:rFonts w:ascii="Arial" w:hAnsi="Arial" w:cs="Arial"/>
          <w:highlight w:val="green"/>
        </w:rPr>
        <w:t>. mm.</w:t>
      </w:r>
      <w:r w:rsidR="00063899">
        <w:rPr>
          <w:rFonts w:ascii="Arial" w:hAnsi="Arial" w:cs="Arial"/>
        </w:rPr>
        <w:t xml:space="preserve"> </w:t>
      </w:r>
      <w:r w:rsidR="00241125">
        <w:rPr>
          <w:rFonts w:ascii="Arial" w:hAnsi="Arial" w:cs="Arial"/>
        </w:rPr>
        <w:t>202</w:t>
      </w:r>
      <w:r w:rsidR="00C15C0E">
        <w:rPr>
          <w:rFonts w:ascii="Arial" w:hAnsi="Arial" w:cs="Arial"/>
        </w:rPr>
        <w:t>6</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w:t>
      </w:r>
      <w:r w:rsidRPr="0051438E">
        <w:rPr>
          <w:rFonts w:ascii="Arial" w:hAnsi="Arial" w:cs="Arial"/>
        </w:rPr>
        <w:lastRenderedPageBreak/>
        <w:t>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15FC094A" w:rsidR="00892B66" w:rsidRPr="00B05506"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8E4B45" w:rsidRPr="008E4B45">
        <w:rPr>
          <w:rFonts w:ascii="Arial" w:hAnsi="Arial" w:cs="Arial"/>
          <w:b/>
          <w:bCs/>
        </w:rPr>
        <w:t>31.</w:t>
      </w:r>
      <w:r w:rsidR="008E4B45">
        <w:rPr>
          <w:rFonts w:ascii="Arial" w:hAnsi="Arial" w:cs="Arial"/>
          <w:b/>
        </w:rPr>
        <w:t xml:space="preserve"> 12.</w:t>
      </w:r>
      <w:r w:rsidR="00CE2316" w:rsidRPr="008E4B45">
        <w:rPr>
          <w:rFonts w:ascii="Arial" w:hAnsi="Arial" w:cs="Arial"/>
          <w:b/>
        </w:rPr>
        <w:t xml:space="preserve"> 2026</w:t>
      </w:r>
      <w:r w:rsidR="00FC47A8" w:rsidRPr="008E4B45">
        <w:rPr>
          <w:rFonts w:ascii="Arial" w:hAnsi="Arial" w:cs="Arial"/>
          <w:b/>
        </w:rPr>
        <w:t>.</w:t>
      </w:r>
    </w:p>
    <w:p w14:paraId="65397D85" w14:textId="2795499A" w:rsidR="00474D8B" w:rsidRPr="0012586A" w:rsidRDefault="00892B66" w:rsidP="00474D8B">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68D1DA5E" w14:textId="583B0AA3" w:rsidR="00CE2316"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CE2316">
        <w:rPr>
          <w:rFonts w:ascii="Arial" w:hAnsi="Arial" w:cs="Arial"/>
        </w:rPr>
        <w:t xml:space="preserve">na místě </w:t>
      </w:r>
      <w:r w:rsidR="00CE2316" w:rsidRPr="00CE2316">
        <w:rPr>
          <w:rFonts w:ascii="Arial" w:hAnsi="Arial" w:cs="Arial"/>
        </w:rPr>
        <w:t>Mohylové</w:t>
      </w:r>
      <w:r w:rsidR="00CE2316">
        <w:rPr>
          <w:rFonts w:ascii="Arial" w:hAnsi="Arial" w:cs="Arial"/>
        </w:rPr>
        <w:t>ho</w:t>
      </w:r>
      <w:r w:rsidR="00CE2316" w:rsidRPr="00CE2316">
        <w:rPr>
          <w:rFonts w:ascii="Arial" w:hAnsi="Arial" w:cs="Arial"/>
        </w:rPr>
        <w:t xml:space="preserve"> pohřebiště "</w:t>
      </w:r>
      <w:proofErr w:type="spellStart"/>
      <w:r w:rsidR="00CE2316" w:rsidRPr="00CE2316">
        <w:rPr>
          <w:rFonts w:ascii="Arial" w:hAnsi="Arial" w:cs="Arial"/>
        </w:rPr>
        <w:t>Žírovice</w:t>
      </w:r>
      <w:proofErr w:type="spellEnd"/>
      <w:r w:rsidR="00CE2316" w:rsidRPr="00CE2316">
        <w:rPr>
          <w:rFonts w:ascii="Arial" w:hAnsi="Arial" w:cs="Arial"/>
        </w:rPr>
        <w:t xml:space="preserve">", </w:t>
      </w:r>
      <w:proofErr w:type="spellStart"/>
      <w:r w:rsidR="00CE2316" w:rsidRPr="00CE2316">
        <w:rPr>
          <w:rFonts w:ascii="Arial" w:hAnsi="Arial" w:cs="Arial"/>
        </w:rPr>
        <w:t>k</w:t>
      </w:r>
      <w:r w:rsidR="00C15C0E">
        <w:rPr>
          <w:rFonts w:ascii="Arial" w:hAnsi="Arial" w:cs="Arial"/>
        </w:rPr>
        <w:t>.</w:t>
      </w:r>
      <w:r w:rsidR="00CE2316" w:rsidRPr="00CE2316">
        <w:rPr>
          <w:rFonts w:ascii="Arial" w:hAnsi="Arial" w:cs="Arial"/>
        </w:rPr>
        <w:t>ú</w:t>
      </w:r>
      <w:proofErr w:type="spellEnd"/>
      <w:r w:rsidR="00CE2316" w:rsidRPr="00CE2316">
        <w:rPr>
          <w:rFonts w:ascii="Arial" w:hAnsi="Arial" w:cs="Arial"/>
        </w:rPr>
        <w:t xml:space="preserve">. Horní Lomany [634654], </w:t>
      </w:r>
      <w:proofErr w:type="spellStart"/>
      <w:r w:rsidR="00CE2316" w:rsidRPr="00CE2316">
        <w:rPr>
          <w:rFonts w:ascii="Arial" w:hAnsi="Arial" w:cs="Arial"/>
        </w:rPr>
        <w:t>p</w:t>
      </w:r>
      <w:r w:rsidR="00C15C0E">
        <w:rPr>
          <w:rFonts w:ascii="Arial" w:hAnsi="Arial" w:cs="Arial"/>
        </w:rPr>
        <w:t>.</w:t>
      </w:r>
      <w:r w:rsidR="00CE2316" w:rsidRPr="00CE2316">
        <w:rPr>
          <w:rFonts w:ascii="Arial" w:hAnsi="Arial" w:cs="Arial"/>
        </w:rPr>
        <w:t>p</w:t>
      </w:r>
      <w:r w:rsidR="00C15C0E">
        <w:rPr>
          <w:rFonts w:ascii="Arial" w:hAnsi="Arial" w:cs="Arial"/>
        </w:rPr>
        <w:t>.</w:t>
      </w:r>
      <w:r w:rsidR="00CE2316" w:rsidRPr="00CE2316">
        <w:rPr>
          <w:rFonts w:ascii="Arial" w:hAnsi="Arial" w:cs="Arial"/>
        </w:rPr>
        <w:t>č</w:t>
      </w:r>
      <w:proofErr w:type="spellEnd"/>
      <w:r w:rsidR="00CE2316" w:rsidRPr="00CE2316">
        <w:rPr>
          <w:rFonts w:ascii="Arial" w:hAnsi="Arial" w:cs="Arial"/>
        </w:rPr>
        <w:t>. 810</w:t>
      </w:r>
      <w:r w:rsidR="00C15C0E">
        <w:rPr>
          <w:rFonts w:ascii="Arial" w:hAnsi="Arial" w:cs="Arial"/>
        </w:rPr>
        <w:t>.</w:t>
      </w:r>
    </w:p>
    <w:p w14:paraId="20115E56" w14:textId="345061A0"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w:t>
      </w:r>
      <w:r w:rsidRPr="00021985">
        <w:rPr>
          <w:rFonts w:ascii="Arial" w:hAnsi="Arial" w:cs="Arial"/>
        </w:rPr>
        <w:t>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Pr="00862298">
        <w:rPr>
          <w:rFonts w:ascii="Arial" w:hAnsi="Arial" w:cs="Arial"/>
        </w:rPr>
        <w:t xml:space="preserve"> </w:t>
      </w:r>
      <w:r w:rsidR="009038C3" w:rsidRPr="00862298">
        <w:rPr>
          <w:rFonts w:ascii="Arial" w:hAnsi="Arial" w:cs="Arial"/>
        </w:rPr>
        <w:t>Kč</w:t>
      </w:r>
    </w:p>
    <w:p w14:paraId="2F84D724" w14:textId="359F5AF4"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w:t>
      </w:r>
      <w:proofErr w:type="gramStart"/>
      <w:r w:rsidRPr="00862298">
        <w:rPr>
          <w:rFonts w:ascii="Arial" w:hAnsi="Arial" w:cs="Arial"/>
        </w:rPr>
        <w:t>21%</w:t>
      </w:r>
      <w:proofErr w:type="gramEnd"/>
      <w:r w:rsidR="00675CEA" w:rsidRPr="00862298">
        <w:rPr>
          <w:rFonts w:ascii="Arial" w:hAnsi="Arial" w:cs="Arial"/>
        </w:rPr>
        <w:t>:</w:t>
      </w:r>
      <w:r w:rsidRPr="00862298">
        <w:rPr>
          <w:rFonts w:ascii="Arial" w:hAnsi="Arial" w:cs="Arial"/>
        </w:rPr>
        <w:tab/>
      </w:r>
      <w:r w:rsidRPr="00862298">
        <w:rPr>
          <w:rFonts w:ascii="Arial" w:hAnsi="Arial" w:cs="Arial"/>
          <w:highlight w:val="yellow"/>
        </w:rPr>
        <w:t>…………</w:t>
      </w:r>
      <w:proofErr w:type="gramStart"/>
      <w:r w:rsidRPr="00862298">
        <w:rPr>
          <w:rFonts w:ascii="Arial" w:hAnsi="Arial" w:cs="Arial"/>
          <w:highlight w:val="yellow"/>
        </w:rPr>
        <w:t>…,…</w:t>
      </w:r>
      <w:proofErr w:type="gramEnd"/>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proofErr w:type="gramStart"/>
      <w:r w:rsidR="009038C3" w:rsidRPr="00862298">
        <w:rPr>
          <w:rFonts w:ascii="Arial" w:hAnsi="Arial" w:cs="Arial"/>
          <w:highlight w:val="yellow"/>
        </w:rPr>
        <w:t>…,…</w:t>
      </w:r>
      <w:proofErr w:type="gramEnd"/>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lastRenderedPageBreak/>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4" w:name="_Hlk190694180"/>
      <w:bookmarkStart w:id="5"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4"/>
    <w:bookmarkEnd w:id="5"/>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lastRenderedPageBreak/>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AF56F1">
      <w:pPr>
        <w:pStyle w:val="BodyText21"/>
        <w:numPr>
          <w:ilvl w:val="1"/>
          <w:numId w:val="45"/>
        </w:numPr>
        <w:spacing w:after="120"/>
        <w:ind w:left="1276" w:hanging="425"/>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AF56F1">
      <w:pPr>
        <w:pStyle w:val="BodyText21"/>
        <w:numPr>
          <w:ilvl w:val="1"/>
          <w:numId w:val="45"/>
        </w:numPr>
        <w:spacing w:after="120"/>
        <w:ind w:left="1276" w:hanging="425"/>
        <w:rPr>
          <w:rFonts w:ascii="Arial" w:hAnsi="Arial" w:cs="Arial"/>
          <w:sz w:val="20"/>
        </w:rPr>
      </w:pPr>
      <w:r w:rsidRPr="00AF56F1">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lastRenderedPageBreak/>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541125A8"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O předání staveniště objednatelem zhotoviteli bude sepsán písemný protokol, který bude vyhotoven ve dvou stejnopisech, bude podepsán oběma smluvními stranami a každá smluvní strana obdrží po jednom stejnopise.   </w:t>
      </w:r>
    </w:p>
    <w:p w14:paraId="0886176B" w14:textId="30DE79D2" w:rsidR="00FB3427" w:rsidRPr="00FB3427" w:rsidRDefault="00FB3427" w:rsidP="005E1667">
      <w:pPr>
        <w:spacing w:after="80"/>
        <w:ind w:left="624"/>
        <w:jc w:val="both"/>
        <w:rPr>
          <w:rFonts w:ascii="Arial" w:hAnsi="Arial" w:cs="Arial"/>
        </w:rPr>
      </w:pPr>
      <w:r w:rsidRPr="00FB3427">
        <w:rPr>
          <w:rFonts w:ascii="Arial" w:hAnsi="Arial" w:cs="Arial"/>
        </w:rPr>
        <w:t xml:space="preserve">Při předání staveniště bude objednatelem provedeno předání dokladů o staveništi. </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lastRenderedPageBreak/>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1F43452"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lastRenderedPageBreak/>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w:t>
      </w:r>
      <w:r w:rsidRPr="00D45489">
        <w:rPr>
          <w:rFonts w:ascii="Arial" w:hAnsi="Arial" w:cs="Arial"/>
        </w:rPr>
        <w:lastRenderedPageBreak/>
        <w:t xml:space="preserve">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lastRenderedPageBreak/>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5E1667">
      <w:pPr>
        <w:pStyle w:val="Znaka"/>
        <w:widowControl/>
        <w:numPr>
          <w:ilvl w:val="0"/>
          <w:numId w:val="21"/>
        </w:numPr>
        <w:tabs>
          <w:tab w:val="clear" w:pos="1414"/>
          <w:tab w:val="num" w:pos="1134"/>
        </w:tabs>
        <w:spacing w:after="80"/>
        <w:ind w:left="1134" w:hanging="425"/>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2F9A25F5" w14:textId="77777777" w:rsidR="00387938" w:rsidRDefault="00D0069E" w:rsidP="00387938">
      <w:pPr>
        <w:pStyle w:val="Znaka"/>
        <w:numPr>
          <w:ilvl w:val="0"/>
          <w:numId w:val="23"/>
        </w:numPr>
        <w:tabs>
          <w:tab w:val="clear" w:pos="1414"/>
        </w:tabs>
        <w:spacing w:after="80"/>
        <w:ind w:left="1134" w:hanging="425"/>
        <w:jc w:val="both"/>
        <w:rPr>
          <w:rFonts w:cs="Arial"/>
          <w:color w:val="auto"/>
          <w:sz w:val="20"/>
        </w:rPr>
      </w:pPr>
      <w:r w:rsidRPr="00387938">
        <w:rPr>
          <w:rFonts w:cs="Arial"/>
          <w:color w:val="auto"/>
          <w:sz w:val="20"/>
        </w:rPr>
        <w:t xml:space="preserve">adresa pro doručování objednatele je: </w:t>
      </w:r>
      <w:r w:rsidR="00387938" w:rsidRPr="00387938">
        <w:rPr>
          <w:rFonts w:cs="Arial"/>
          <w:color w:val="auto"/>
          <w:sz w:val="20"/>
        </w:rPr>
        <w:t xml:space="preserve">MUZEUM CHEB, nám. Krále Jiřího z Poděbrad 493/4, 350 </w:t>
      </w:r>
      <w:r w:rsidR="00387938">
        <w:rPr>
          <w:rFonts w:cs="Arial"/>
          <w:color w:val="auto"/>
          <w:sz w:val="20"/>
        </w:rPr>
        <w:t>02</w:t>
      </w:r>
      <w:r w:rsidR="00387938" w:rsidRPr="00387938">
        <w:rPr>
          <w:rFonts w:cs="Arial"/>
          <w:color w:val="auto"/>
          <w:sz w:val="20"/>
        </w:rPr>
        <w:t xml:space="preserve"> Cheb</w:t>
      </w:r>
    </w:p>
    <w:p w14:paraId="7263455A" w14:textId="28AC88A3" w:rsidR="00D0069E" w:rsidRPr="007478AB" w:rsidRDefault="00D0069E" w:rsidP="005E1667">
      <w:pPr>
        <w:pStyle w:val="Znaka"/>
        <w:widowControl/>
        <w:numPr>
          <w:ilvl w:val="0"/>
          <w:numId w:val="23"/>
        </w:numPr>
        <w:tabs>
          <w:tab w:val="clear" w:pos="1414"/>
          <w:tab w:val="num" w:pos="1134"/>
        </w:tabs>
        <w:spacing w:after="80"/>
        <w:ind w:left="1134" w:hanging="425"/>
        <w:jc w:val="both"/>
        <w:rPr>
          <w:rFonts w:cs="Arial"/>
          <w:color w:val="auto"/>
          <w:sz w:val="20"/>
        </w:rPr>
      </w:pPr>
      <w:r w:rsidRPr="007478AB">
        <w:rPr>
          <w:rFonts w:cs="Arial"/>
          <w:color w:val="auto"/>
          <w:sz w:val="20"/>
        </w:rPr>
        <w:t xml:space="preserve">adresa pro doručování zhotovitele je: </w:t>
      </w:r>
      <w:r w:rsidR="00E06D8D" w:rsidRPr="009038C3">
        <w:rPr>
          <w:rFonts w:cs="Arial"/>
          <w:iCs/>
          <w:sz w:val="20"/>
          <w:highlight w:val="yellow"/>
        </w:rPr>
        <w:t>…………</w:t>
      </w:r>
      <w:r w:rsidR="00E06D8D">
        <w:rPr>
          <w:rFonts w:cs="Arial"/>
          <w:iCs/>
          <w:highlight w:val="yellow"/>
        </w:rPr>
        <w:t>…</w:t>
      </w:r>
      <w:r w:rsidR="00E06D8D" w:rsidRPr="009038C3">
        <w:rPr>
          <w:rFonts w:cs="Arial"/>
          <w:iCs/>
          <w:sz w:val="20"/>
          <w:highlight w:val="yellow"/>
        </w:rPr>
        <w:t>…………</w:t>
      </w:r>
      <w:r w:rsidR="00E06D8D">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lastRenderedPageBreak/>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w:t>
      </w:r>
      <w:proofErr w:type="gramStart"/>
      <w:r w:rsidRPr="00C234E2">
        <w:rPr>
          <w:rFonts w:cs="Arial"/>
          <w:color w:val="auto"/>
          <w:sz w:val="20"/>
        </w:rPr>
        <w:t>živelná</w:t>
      </w:r>
      <w:proofErr w:type="gramEnd"/>
      <w:r w:rsidRPr="00C234E2">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7A23A889" w:rsidR="005231D6"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DF04D6">
        <w:rPr>
          <w:rFonts w:cs="Arial"/>
          <w:color w:val="auto"/>
          <w:sz w:val="20"/>
        </w:rPr>
        <w:t>1</w:t>
      </w:r>
      <w:r w:rsidR="00F64F2F">
        <w:rPr>
          <w:rFonts w:cs="Arial"/>
          <w:color w:val="auto"/>
          <w:sz w:val="20"/>
        </w:rPr>
        <w:t>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DF04D6">
        <w:rPr>
          <w:rFonts w:cs="Arial"/>
          <w:color w:val="auto"/>
          <w:sz w:val="20"/>
        </w:rPr>
        <w:t>sto</w:t>
      </w:r>
      <w:r w:rsidR="00F64F2F">
        <w:rPr>
          <w:rFonts w:cs="Arial"/>
          <w:color w:val="auto"/>
          <w:sz w:val="20"/>
        </w:rPr>
        <w:t>tisíc</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817358B" w14:textId="41BB40F9" w:rsidR="00172349" w:rsidRDefault="00172349" w:rsidP="00D85400">
      <w:pPr>
        <w:pStyle w:val="Odstavecseseznamem"/>
        <w:spacing w:after="80"/>
        <w:ind w:left="567"/>
        <w:contextualSpacing w:val="0"/>
        <w:jc w:val="both"/>
        <w:rPr>
          <w:rFonts w:ascii="Arial" w:hAnsi="Arial" w:cs="Arial"/>
        </w:rPr>
      </w:pP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lastRenderedPageBreak/>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6AC3DBFC" w:rsidR="00C234E2"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p>
    <w:p w14:paraId="64E468F1" w14:textId="3097E019" w:rsidR="00793BD1" w:rsidRPr="00FA6A18"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FA6A18">
        <w:rPr>
          <w:rFonts w:cs="Arial"/>
          <w:iCs/>
          <w:sz w:val="20"/>
          <w:highlight w:val="green"/>
        </w:rPr>
        <w:t>………</w:t>
      </w:r>
      <w:r w:rsidRPr="00FA6A18">
        <w:rPr>
          <w:rFonts w:cs="Arial"/>
          <w:iCs/>
          <w:highlight w:val="green"/>
        </w:rPr>
        <w:t>…</w:t>
      </w:r>
      <w:r w:rsidRPr="00FA6A18">
        <w:rPr>
          <w:rFonts w:cs="Arial"/>
          <w:iCs/>
          <w:sz w:val="20"/>
          <w:highlight w:val="green"/>
        </w:rPr>
        <w:t>……</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001CA1EF" w:rsidR="005D0F15" w:rsidRPr="0077689D" w:rsidRDefault="00387938" w:rsidP="00D85400">
      <w:pPr>
        <w:pStyle w:val="Znaka"/>
        <w:widowControl/>
        <w:numPr>
          <w:ilvl w:val="0"/>
          <w:numId w:val="39"/>
        </w:numPr>
        <w:tabs>
          <w:tab w:val="clear" w:pos="1414"/>
        </w:tabs>
        <w:spacing w:after="80"/>
        <w:ind w:left="1134" w:hanging="425"/>
        <w:jc w:val="both"/>
        <w:rPr>
          <w:rFonts w:cs="Arial"/>
          <w:color w:val="auto"/>
          <w:sz w:val="20"/>
        </w:rPr>
      </w:pPr>
      <w:r w:rsidRPr="00387938">
        <w:rPr>
          <w:rFonts w:cs="Arial"/>
          <w:color w:val="auto"/>
          <w:sz w:val="20"/>
        </w:rPr>
        <w:t>Ing. Martina Kubinčan</w:t>
      </w:r>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3105A9B7" w:rsidR="00C234E2" w:rsidRPr="00241125" w:rsidRDefault="00E06D8D" w:rsidP="00D85400">
      <w:pPr>
        <w:pStyle w:val="Znaka"/>
        <w:widowControl/>
        <w:numPr>
          <w:ilvl w:val="0"/>
          <w:numId w:val="28"/>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p>
    <w:p w14:paraId="1444A842" w14:textId="081D39AF" w:rsidR="00C234E2" w:rsidRPr="00241125" w:rsidRDefault="00E06D8D" w:rsidP="00D85400">
      <w:pPr>
        <w:pStyle w:val="Znaka"/>
        <w:widowControl/>
        <w:numPr>
          <w:ilvl w:val="0"/>
          <w:numId w:val="28"/>
        </w:numPr>
        <w:shd w:val="clear" w:color="auto" w:fill="FFFFFF" w:themeFill="background1"/>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lastRenderedPageBreak/>
        <w:t>Objednatel nepřipouští odchylky od návrhu smlouvy.</w:t>
      </w:r>
    </w:p>
    <w:p w14:paraId="713C6281" w14:textId="6CFD6643" w:rsidR="00D17099"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0490E93" w14:textId="412368EA" w:rsidR="00B35A4F" w:rsidRPr="00B35A4F" w:rsidRDefault="00B35A4F" w:rsidP="00D85400">
      <w:pPr>
        <w:pStyle w:val="Odstavecseseznamem"/>
        <w:numPr>
          <w:ilvl w:val="0"/>
          <w:numId w:val="35"/>
        </w:numPr>
        <w:spacing w:after="80"/>
        <w:ind w:left="567" w:hanging="567"/>
        <w:contextualSpacing w:val="0"/>
        <w:jc w:val="both"/>
        <w:rPr>
          <w:rFonts w:ascii="Arial" w:hAnsi="Arial" w:cs="Arial"/>
        </w:rPr>
      </w:pPr>
      <w:r w:rsidRPr="00B35A4F">
        <w:rPr>
          <w:rFonts w:ascii="Arial" w:hAnsi="Arial" w:cs="Arial"/>
        </w:rPr>
        <w:t>Smluvní strany jsou povinny uchovávat odpovídajícím způsobem po dobu deseti (10) let od ukončení financování akce originál této smlouvy včetně jejích dodatků, veškeré účetní doklady a další dokumenty související s realizací díla.</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 xml:space="preserve">smluvní </w:t>
      </w:r>
      <w:proofErr w:type="gramStart"/>
      <w:r w:rsidRPr="00241125">
        <w:rPr>
          <w:rFonts w:ascii="Arial" w:hAnsi="Arial" w:cs="Arial"/>
        </w:rPr>
        <w:t>straně</w:t>
      </w:r>
      <w:r w:rsidR="001D3746" w:rsidRPr="00241125">
        <w:rPr>
          <w:rFonts w:ascii="Arial" w:hAnsi="Arial" w:cs="Arial"/>
        </w:rPr>
        <w:t xml:space="preserve"> -</w:t>
      </w:r>
      <w:r w:rsidRPr="00241125">
        <w:rPr>
          <w:rFonts w:ascii="Arial" w:hAnsi="Arial" w:cs="Arial"/>
        </w:rPr>
        <w:t xml:space="preserve"> datová</w:t>
      </w:r>
      <w:proofErr w:type="gramEnd"/>
      <w:r w:rsidRPr="00241125">
        <w:rPr>
          <w:rFonts w:ascii="Arial" w:hAnsi="Arial" w:cs="Arial"/>
        </w:rPr>
        <w:t xml:space="preserve">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roofErr w:type="gramStart"/>
      <w:r w:rsidRPr="005D0F15">
        <w:rPr>
          <w:rFonts w:ascii="Arial" w:hAnsi="Arial" w:cs="Arial"/>
          <w:highlight w:val="lightGray"/>
        </w:rPr>
        <w:t>…….</w:t>
      </w:r>
      <w:proofErr w:type="gramEnd"/>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0E2172B5" w14:textId="697164AC" w:rsidR="00387938"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6" w:name="_Hlk190430630"/>
      <w:r w:rsidR="00387938" w:rsidRPr="00387938">
        <w:rPr>
          <w:rFonts w:ascii="Arial" w:hAnsi="Arial" w:cs="Arial"/>
        </w:rPr>
        <w:t xml:space="preserve">Ing. Martina Kubinčan </w:t>
      </w:r>
    </w:p>
    <w:p w14:paraId="5D550081" w14:textId="3B9BF777" w:rsidR="0089420F" w:rsidRDefault="00387938"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r w:rsidRPr="00387938">
        <w:rPr>
          <w:rFonts w:ascii="Arial" w:hAnsi="Arial" w:cs="Arial"/>
        </w:rPr>
        <w:t xml:space="preserve">ředitelka </w:t>
      </w:r>
      <w:bookmarkEnd w:id="6"/>
      <w:r w:rsidR="0089420F">
        <w:rPr>
          <w:rFonts w:ascii="Arial" w:hAnsi="Arial" w:cs="Arial"/>
        </w:rPr>
        <w:t>PO</w:t>
      </w:r>
    </w:p>
    <w:sectPr w:rsidR="0089420F" w:rsidSect="00FA6A1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B26D" w14:textId="77777777" w:rsidR="005A0C1D" w:rsidRDefault="005A0C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51193234"/>
      <w:docPartObj>
        <w:docPartGallery w:val="Page Numbers (Bottom of Page)"/>
        <w:docPartUnique/>
      </w:docPartObj>
    </w:sdtPr>
    <w:sdtEndPr/>
    <w:sdtContent>
      <w:p w14:paraId="428E6507" w14:textId="77777777" w:rsidR="003859AF" w:rsidRPr="00B324D0" w:rsidRDefault="003859AF" w:rsidP="003859AF">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Pr>
            <w:rFonts w:ascii="Arial" w:hAnsi="Arial" w:cs="Arial"/>
            <w:bCs/>
            <w:sz w:val="16"/>
            <w:szCs w:val="16"/>
          </w:rPr>
          <w:t>2</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Pr>
            <w:rFonts w:ascii="Arial" w:hAnsi="Arial" w:cs="Arial"/>
            <w:bCs/>
            <w:sz w:val="16"/>
            <w:szCs w:val="16"/>
          </w:rPr>
          <w:t>15</w:t>
        </w:r>
        <w:r w:rsidRPr="00B324D0">
          <w:rPr>
            <w:rFonts w:ascii="Arial" w:hAnsi="Arial" w:cs="Arial"/>
            <w:bCs/>
            <w:sz w:val="16"/>
            <w:szCs w:val="16"/>
          </w:rPr>
          <w:fldChar w:fldCharType="end"/>
        </w:r>
      </w:p>
    </w:sdtContent>
  </w:sdt>
  <w:p w14:paraId="46242ABC" w14:textId="77777777" w:rsidR="00FA6A18" w:rsidRDefault="00FA6A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4025" w14:textId="77777777" w:rsidR="005A0C1D" w:rsidRDefault="005A0C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55C" w14:textId="6C3E656B" w:rsidR="00FA6A18" w:rsidRPr="003859AF" w:rsidRDefault="003859AF" w:rsidP="00387938">
    <w:pPr>
      <w:pStyle w:val="Zhlav"/>
      <w:jc w:val="center"/>
      <w:rPr>
        <w:rFonts w:asciiTheme="minorHAnsi" w:hAnsiTheme="minorHAnsi" w:cstheme="minorHAnsi"/>
      </w:rPr>
    </w:pPr>
    <w:r w:rsidRPr="003859AF">
      <w:rPr>
        <w:rFonts w:asciiTheme="minorHAnsi" w:hAnsiTheme="minorHAnsi" w:cstheme="minorHAnsi"/>
      </w:rPr>
      <w:t xml:space="preserve">Smlouva o </w:t>
    </w:r>
    <w:proofErr w:type="gramStart"/>
    <w:r w:rsidRPr="003859AF">
      <w:rPr>
        <w:rFonts w:asciiTheme="minorHAnsi" w:hAnsiTheme="minorHAnsi" w:cstheme="minorHAnsi"/>
      </w:rPr>
      <w:t>dílo</w:t>
    </w:r>
    <w:r>
      <w:rPr>
        <w:rFonts w:asciiTheme="minorHAnsi" w:hAnsiTheme="minorHAnsi" w:cstheme="minorHAnsi"/>
      </w:rPr>
      <w:t xml:space="preserve"> </w:t>
    </w:r>
    <w:r w:rsidRPr="003859AF">
      <w:rPr>
        <w:rFonts w:asciiTheme="minorHAnsi" w:hAnsiTheme="minorHAnsi" w:cstheme="minorHAnsi"/>
      </w:rPr>
      <w:t xml:space="preserve"> „</w:t>
    </w:r>
    <w:proofErr w:type="gramEnd"/>
    <w:r w:rsidR="00387938" w:rsidRPr="00387938">
      <w:rPr>
        <w:rFonts w:asciiTheme="minorHAnsi" w:hAnsiTheme="minorHAnsi" w:cstheme="minorHAnsi"/>
      </w:rPr>
      <w:t>Výstavba interaktivního parku v rámci projektu Po stopách historie. Německo-česká kulturní oblast a její kořeny.</w:t>
    </w:r>
    <w:r w:rsidR="00387938">
      <w:rPr>
        <w:rFonts w:asciiTheme="minorHAnsi" w:hAnsiTheme="minorHAnsi" w:cstheme="minorHAnsi"/>
      </w:rPr>
      <w:t xml:space="preserve"> </w:t>
    </w:r>
    <w:r w:rsidR="001E5BDF" w:rsidRPr="001E5BDF">
      <w:rPr>
        <w:rFonts w:asciiTheme="minorHAnsi" w:hAnsiTheme="minorHAnsi" w:cstheme="minorHAnsi"/>
      </w:rPr>
      <w:t xml:space="preserve">Část </w:t>
    </w:r>
    <w:proofErr w:type="gramStart"/>
    <w:r w:rsidR="001E5BDF" w:rsidRPr="001E5BDF">
      <w:rPr>
        <w:rFonts w:asciiTheme="minorHAnsi" w:hAnsiTheme="minorHAnsi" w:cstheme="minorHAnsi"/>
      </w:rPr>
      <w:t>II - Historické</w:t>
    </w:r>
    <w:proofErr w:type="gramEnd"/>
    <w:r w:rsidR="001E5BDF" w:rsidRPr="001E5BDF">
      <w:rPr>
        <w:rFonts w:asciiTheme="minorHAnsi" w:hAnsiTheme="minorHAnsi" w:cstheme="minorHAnsi"/>
      </w:rPr>
      <w:t xml:space="preserve"> konstrukce</w:t>
    </w:r>
    <w:r w:rsidRPr="003859AF">
      <w:rPr>
        <w:rFonts w:asciiTheme="minorHAnsi" w:hAnsiTheme="minorHAnsi" w:cstheme="minorHAns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74F" w14:textId="77777777" w:rsidR="006549D8" w:rsidRDefault="006549D8" w:rsidP="006549D8">
    <w:pPr>
      <w:pStyle w:val="Nadpis2"/>
      <w:tabs>
        <w:tab w:val="right" w:pos="9354"/>
      </w:tabs>
      <w:jc w:val="both"/>
    </w:pPr>
    <w:bookmarkStart w:id="7" w:name="_Hlk214614255"/>
    <w:bookmarkStart w:id="8" w:name="_Hlk214614256"/>
    <w:r>
      <w:rPr>
        <w:noProof/>
      </w:rPr>
      <w:drawing>
        <wp:inline distT="0" distB="0" distL="0" distR="0" wp14:anchorId="1625055B" wp14:editId="32E07054">
          <wp:extent cx="1041400" cy="728345"/>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gen_rgb.jpg"/>
                  <pic:cNvPicPr/>
                </pic:nvPicPr>
                <pic:blipFill rotWithShape="1">
                  <a:blip r:embed="rId1">
                    <a:extLst>
                      <a:ext uri="{28A0092B-C50C-407E-A947-70E740481C1C}">
                        <a14:useLocalDpi xmlns:a14="http://schemas.microsoft.com/office/drawing/2010/main" val="0"/>
                      </a:ext>
                    </a:extLst>
                  </a:blip>
                  <a:srcRect t="19055" r="14395"/>
                  <a:stretch/>
                </pic:blipFill>
                <pic:spPr bwMode="auto">
                  <a:xfrm>
                    <a:off x="0" y="0"/>
                    <a:ext cx="1041637" cy="728511"/>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52911DE7" wp14:editId="41AEEEA3">
          <wp:extent cx="236220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yern–Česko_rgb-dr.jpg"/>
                  <pic:cNvPicPr/>
                </pic:nvPicPr>
                <pic:blipFill rotWithShape="1">
                  <a:blip r:embed="rId2">
                    <a:extLst>
                      <a:ext uri="{28A0092B-C50C-407E-A947-70E740481C1C}">
                        <a14:useLocalDpi xmlns:a14="http://schemas.microsoft.com/office/drawing/2010/main" val="0"/>
                      </a:ext>
                    </a:extLst>
                  </a:blip>
                  <a:srcRect l="5089" t="15526" r="4750" b="12486"/>
                  <a:stretch/>
                </pic:blipFill>
                <pic:spPr bwMode="auto">
                  <a:xfrm>
                    <a:off x="0" y="0"/>
                    <a:ext cx="2362922" cy="647898"/>
                  </a:xfrm>
                  <a:prstGeom prst="rect">
                    <a:avLst/>
                  </a:prstGeom>
                  <a:ln>
                    <a:noFill/>
                  </a:ln>
                  <a:extLst>
                    <a:ext uri="{53640926-AAD7-44D8-BBD7-CCE9431645EC}">
                      <a14:shadowObscured xmlns:a14="http://schemas.microsoft.com/office/drawing/2010/main"/>
                    </a:ext>
                  </a:extLst>
                </pic:spPr>
              </pic:pic>
            </a:graphicData>
          </a:graphic>
        </wp:inline>
      </w:drawing>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BE80A7B8"/>
    <w:lvl w:ilvl="0" w:tplc="07EE7D86">
      <w:start w:val="1"/>
      <w:numFmt w:val="decimal"/>
      <w:lvlText w:val="16.%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multilevel"/>
    <w:tmpl w:val="908A7FF4"/>
    <w:lvl w:ilvl="0">
      <w:start w:val="1"/>
      <w:numFmt w:val="decimal"/>
      <w:lvlText w:val="17.%1"/>
      <w:lvlJc w:val="left"/>
      <w:pPr>
        <w:ind w:left="643" w:hanging="360"/>
      </w:pPr>
      <w:rPr>
        <w:rFonts w:hint="default"/>
        <w:b w:val="0"/>
        <w:bCs w:val="0"/>
        <w:i w:val="0"/>
        <w:iCs w:val="0"/>
        <w:color w:val="auto"/>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3" w15:restartNumberingAfterBreak="0">
    <w:nsid w:val="24994D78"/>
    <w:multiLevelType w:val="hybridMultilevel"/>
    <w:tmpl w:val="64266E56"/>
    <w:lvl w:ilvl="0" w:tplc="E0EEC682">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860703480">
    <w:abstractNumId w:val="33"/>
  </w:num>
  <w:num w:numId="2" w16cid:durableId="517353634">
    <w:abstractNumId w:val="30"/>
  </w:num>
  <w:num w:numId="3" w16cid:durableId="581456523">
    <w:abstractNumId w:val="42"/>
  </w:num>
  <w:num w:numId="4" w16cid:durableId="1601715210">
    <w:abstractNumId w:val="43"/>
  </w:num>
  <w:num w:numId="5" w16cid:durableId="1391230944">
    <w:abstractNumId w:val="31"/>
  </w:num>
  <w:num w:numId="6" w16cid:durableId="1842430972">
    <w:abstractNumId w:val="23"/>
  </w:num>
  <w:num w:numId="7" w16cid:durableId="1527599640">
    <w:abstractNumId w:val="29"/>
  </w:num>
  <w:num w:numId="8" w16cid:durableId="109981177">
    <w:abstractNumId w:val="39"/>
  </w:num>
  <w:num w:numId="9" w16cid:durableId="1252592577">
    <w:abstractNumId w:val="20"/>
  </w:num>
  <w:num w:numId="10" w16cid:durableId="836650284">
    <w:abstractNumId w:val="18"/>
  </w:num>
  <w:num w:numId="11" w16cid:durableId="393313899">
    <w:abstractNumId w:val="24"/>
  </w:num>
  <w:num w:numId="12" w16cid:durableId="665742938">
    <w:abstractNumId w:val="10"/>
  </w:num>
  <w:num w:numId="13" w16cid:durableId="271128033">
    <w:abstractNumId w:val="30"/>
    <w:lvlOverride w:ilvl="0">
      <w:lvl w:ilvl="0">
        <w:start w:val="1"/>
        <w:numFmt w:val="upperRoman"/>
        <w:suff w:val="space"/>
        <w:lvlText w:val="%1."/>
        <w:lvlJc w:val="left"/>
        <w:pPr>
          <w:ind w:left="720" w:hanging="720"/>
        </w:pPr>
        <w:rPr>
          <w:rFonts w:hint="default"/>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16cid:durableId="1375884071">
    <w:abstractNumId w:val="4"/>
  </w:num>
  <w:num w:numId="15" w16cid:durableId="1531408445">
    <w:abstractNumId w:val="21"/>
  </w:num>
  <w:num w:numId="16" w16cid:durableId="1081638036">
    <w:abstractNumId w:val="9"/>
  </w:num>
  <w:num w:numId="17" w16cid:durableId="1354722514">
    <w:abstractNumId w:val="2"/>
  </w:num>
  <w:num w:numId="18" w16cid:durableId="1636837367">
    <w:abstractNumId w:val="11"/>
  </w:num>
  <w:num w:numId="19" w16cid:durableId="1116407688">
    <w:abstractNumId w:val="7"/>
  </w:num>
  <w:num w:numId="20" w16cid:durableId="1793404562">
    <w:abstractNumId w:val="22"/>
  </w:num>
  <w:num w:numId="21" w16cid:durableId="936213686">
    <w:abstractNumId w:val="27"/>
  </w:num>
  <w:num w:numId="22" w16cid:durableId="1383478892">
    <w:abstractNumId w:val="16"/>
  </w:num>
  <w:num w:numId="23" w16cid:durableId="1372146580">
    <w:abstractNumId w:val="1"/>
  </w:num>
  <w:num w:numId="24" w16cid:durableId="99643092">
    <w:abstractNumId w:val="26"/>
  </w:num>
  <w:num w:numId="25" w16cid:durableId="1737362009">
    <w:abstractNumId w:val="17"/>
  </w:num>
  <w:num w:numId="26" w16cid:durableId="1274440593">
    <w:abstractNumId w:val="6"/>
  </w:num>
  <w:num w:numId="27" w16cid:durableId="570971826">
    <w:abstractNumId w:val="15"/>
  </w:num>
  <w:num w:numId="28" w16cid:durableId="141510038">
    <w:abstractNumId w:val="41"/>
  </w:num>
  <w:num w:numId="29" w16cid:durableId="596253132">
    <w:abstractNumId w:val="19"/>
  </w:num>
  <w:num w:numId="30" w16cid:durableId="557863049">
    <w:abstractNumId w:val="28"/>
  </w:num>
  <w:num w:numId="31" w16cid:durableId="863324286">
    <w:abstractNumId w:val="35"/>
  </w:num>
  <w:num w:numId="32" w16cid:durableId="394083436">
    <w:abstractNumId w:val="38"/>
  </w:num>
  <w:num w:numId="33" w16cid:durableId="1011763196">
    <w:abstractNumId w:val="13"/>
  </w:num>
  <w:num w:numId="34" w16cid:durableId="1755545342">
    <w:abstractNumId w:val="40"/>
  </w:num>
  <w:num w:numId="35" w16cid:durableId="440881470">
    <w:abstractNumId w:val="12"/>
  </w:num>
  <w:num w:numId="36" w16cid:durableId="1918636964">
    <w:abstractNumId w:val="14"/>
  </w:num>
  <w:num w:numId="37" w16cid:durableId="1035235429">
    <w:abstractNumId w:val="3"/>
  </w:num>
  <w:num w:numId="38" w16cid:durableId="586186428">
    <w:abstractNumId w:val="5"/>
  </w:num>
  <w:num w:numId="39" w16cid:durableId="1549145057">
    <w:abstractNumId w:val="37"/>
  </w:num>
  <w:num w:numId="40" w16cid:durableId="329256231">
    <w:abstractNumId w:val="34"/>
  </w:num>
  <w:num w:numId="41" w16cid:durableId="557866044">
    <w:abstractNumId w:val="44"/>
  </w:num>
  <w:num w:numId="42" w16cid:durableId="1048264046">
    <w:abstractNumId w:val="25"/>
  </w:num>
  <w:num w:numId="43" w16cid:durableId="665282034">
    <w:abstractNumId w:val="8"/>
  </w:num>
  <w:num w:numId="44" w16cid:durableId="1301034299">
    <w:abstractNumId w:val="32"/>
  </w:num>
  <w:num w:numId="45" w16cid:durableId="1624339363">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3899"/>
    <w:rsid w:val="00064722"/>
    <w:rsid w:val="000725CF"/>
    <w:rsid w:val="000730E0"/>
    <w:rsid w:val="00074B98"/>
    <w:rsid w:val="000871FD"/>
    <w:rsid w:val="00094FC2"/>
    <w:rsid w:val="000A0087"/>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B2376"/>
    <w:rsid w:val="001C306D"/>
    <w:rsid w:val="001C7899"/>
    <w:rsid w:val="001D3746"/>
    <w:rsid w:val="001D449C"/>
    <w:rsid w:val="001E2869"/>
    <w:rsid w:val="001E5BDF"/>
    <w:rsid w:val="001E616D"/>
    <w:rsid w:val="001F0CD4"/>
    <w:rsid w:val="001F640D"/>
    <w:rsid w:val="002175E6"/>
    <w:rsid w:val="00221F1E"/>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D16F1"/>
    <w:rsid w:val="002E0934"/>
    <w:rsid w:val="002E16BA"/>
    <w:rsid w:val="002E60AF"/>
    <w:rsid w:val="002E61D9"/>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60C4B"/>
    <w:rsid w:val="003652B2"/>
    <w:rsid w:val="00385813"/>
    <w:rsid w:val="003859AF"/>
    <w:rsid w:val="00387938"/>
    <w:rsid w:val="00392F07"/>
    <w:rsid w:val="0039773A"/>
    <w:rsid w:val="003A45EE"/>
    <w:rsid w:val="003B466E"/>
    <w:rsid w:val="003B6266"/>
    <w:rsid w:val="003C412E"/>
    <w:rsid w:val="003C73F7"/>
    <w:rsid w:val="003D0FB2"/>
    <w:rsid w:val="003D5555"/>
    <w:rsid w:val="003F3E68"/>
    <w:rsid w:val="00412D6D"/>
    <w:rsid w:val="00426877"/>
    <w:rsid w:val="004315C0"/>
    <w:rsid w:val="00444EFC"/>
    <w:rsid w:val="004513B9"/>
    <w:rsid w:val="00451E19"/>
    <w:rsid w:val="00460EA5"/>
    <w:rsid w:val="00461372"/>
    <w:rsid w:val="00461E3A"/>
    <w:rsid w:val="00465B24"/>
    <w:rsid w:val="004661F9"/>
    <w:rsid w:val="00470D3B"/>
    <w:rsid w:val="00474D8B"/>
    <w:rsid w:val="0048762C"/>
    <w:rsid w:val="00495F33"/>
    <w:rsid w:val="004A04C1"/>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27B65"/>
    <w:rsid w:val="0053387D"/>
    <w:rsid w:val="005361A4"/>
    <w:rsid w:val="00540614"/>
    <w:rsid w:val="0054193E"/>
    <w:rsid w:val="00551964"/>
    <w:rsid w:val="005536E8"/>
    <w:rsid w:val="0055460E"/>
    <w:rsid w:val="00554639"/>
    <w:rsid w:val="0056181E"/>
    <w:rsid w:val="005669E8"/>
    <w:rsid w:val="005A022F"/>
    <w:rsid w:val="005A0C1D"/>
    <w:rsid w:val="005A1E43"/>
    <w:rsid w:val="005A3713"/>
    <w:rsid w:val="005A7FFA"/>
    <w:rsid w:val="005B0678"/>
    <w:rsid w:val="005B58B4"/>
    <w:rsid w:val="005B7288"/>
    <w:rsid w:val="005C29C3"/>
    <w:rsid w:val="005D0F15"/>
    <w:rsid w:val="005D7091"/>
    <w:rsid w:val="005E1667"/>
    <w:rsid w:val="005E1FC8"/>
    <w:rsid w:val="00626B77"/>
    <w:rsid w:val="006354E6"/>
    <w:rsid w:val="00636529"/>
    <w:rsid w:val="00644857"/>
    <w:rsid w:val="00652F6D"/>
    <w:rsid w:val="00653889"/>
    <w:rsid w:val="006549D8"/>
    <w:rsid w:val="006574F5"/>
    <w:rsid w:val="00662B38"/>
    <w:rsid w:val="00675CEA"/>
    <w:rsid w:val="006777BF"/>
    <w:rsid w:val="00682ABE"/>
    <w:rsid w:val="006834CD"/>
    <w:rsid w:val="006A2E20"/>
    <w:rsid w:val="006D5EC5"/>
    <w:rsid w:val="006D6C9B"/>
    <w:rsid w:val="007043C4"/>
    <w:rsid w:val="0071177C"/>
    <w:rsid w:val="00712E82"/>
    <w:rsid w:val="00713757"/>
    <w:rsid w:val="00723AB1"/>
    <w:rsid w:val="0073639B"/>
    <w:rsid w:val="007478AB"/>
    <w:rsid w:val="0075323F"/>
    <w:rsid w:val="007543D6"/>
    <w:rsid w:val="00760458"/>
    <w:rsid w:val="0077689D"/>
    <w:rsid w:val="0078230B"/>
    <w:rsid w:val="00784841"/>
    <w:rsid w:val="00793934"/>
    <w:rsid w:val="00793BD1"/>
    <w:rsid w:val="007943BF"/>
    <w:rsid w:val="007976A5"/>
    <w:rsid w:val="007A4273"/>
    <w:rsid w:val="007B1241"/>
    <w:rsid w:val="007D2407"/>
    <w:rsid w:val="007E0908"/>
    <w:rsid w:val="007E3C84"/>
    <w:rsid w:val="007E4776"/>
    <w:rsid w:val="007E7C3E"/>
    <w:rsid w:val="007F7D02"/>
    <w:rsid w:val="00805719"/>
    <w:rsid w:val="0081380C"/>
    <w:rsid w:val="008148B9"/>
    <w:rsid w:val="00816004"/>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E4B45"/>
    <w:rsid w:val="008F3C26"/>
    <w:rsid w:val="00900BD0"/>
    <w:rsid w:val="009038C3"/>
    <w:rsid w:val="00912653"/>
    <w:rsid w:val="009206F9"/>
    <w:rsid w:val="00920B4E"/>
    <w:rsid w:val="00933E93"/>
    <w:rsid w:val="00941968"/>
    <w:rsid w:val="00941B22"/>
    <w:rsid w:val="00944A1C"/>
    <w:rsid w:val="009604AB"/>
    <w:rsid w:val="00963269"/>
    <w:rsid w:val="00985FCE"/>
    <w:rsid w:val="009912D3"/>
    <w:rsid w:val="00995698"/>
    <w:rsid w:val="00997745"/>
    <w:rsid w:val="009A0001"/>
    <w:rsid w:val="009A0959"/>
    <w:rsid w:val="009C0F01"/>
    <w:rsid w:val="009D21FB"/>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35A4F"/>
    <w:rsid w:val="00B4056B"/>
    <w:rsid w:val="00B45899"/>
    <w:rsid w:val="00B55454"/>
    <w:rsid w:val="00B93FB6"/>
    <w:rsid w:val="00BB593D"/>
    <w:rsid w:val="00BC5EDD"/>
    <w:rsid w:val="00BD0A6F"/>
    <w:rsid w:val="00BD52FE"/>
    <w:rsid w:val="00BD56D2"/>
    <w:rsid w:val="00BD7920"/>
    <w:rsid w:val="00BE0C09"/>
    <w:rsid w:val="00BF6D0A"/>
    <w:rsid w:val="00C04AF2"/>
    <w:rsid w:val="00C11C1A"/>
    <w:rsid w:val="00C140C6"/>
    <w:rsid w:val="00C15AC8"/>
    <w:rsid w:val="00C15C0E"/>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E2316"/>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5400"/>
    <w:rsid w:val="00D8722B"/>
    <w:rsid w:val="00D87542"/>
    <w:rsid w:val="00D90992"/>
    <w:rsid w:val="00D967F4"/>
    <w:rsid w:val="00DA23A1"/>
    <w:rsid w:val="00DC2D2E"/>
    <w:rsid w:val="00DC4569"/>
    <w:rsid w:val="00DC6C1F"/>
    <w:rsid w:val="00DD0F37"/>
    <w:rsid w:val="00DE32FC"/>
    <w:rsid w:val="00DE7672"/>
    <w:rsid w:val="00DF01FB"/>
    <w:rsid w:val="00DF04D6"/>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A18"/>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6549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 w:type="character" w:customStyle="1" w:styleId="Nadpis2Char">
    <w:name w:val="Nadpis 2 Char"/>
    <w:basedOn w:val="Standardnpsmoodstavce"/>
    <w:link w:val="Nadpis2"/>
    <w:uiPriority w:val="9"/>
    <w:semiHidden/>
    <w:rsid w:val="006549D8"/>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86DF4-4B3D-4E7D-9687-D5DE4428EAD3}">
  <ds:schemaRefs>
    <ds:schemaRef ds:uri="http://schemas.openxmlformats.org/officeDocument/2006/bibliography"/>
  </ds:schemaRefs>
</ds:datastoreItem>
</file>

<file path=customXml/itemProps2.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DAEB0-8B52-4163-8192-7F400AC36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7421</Words>
  <Characters>43785</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10</cp:revision>
  <cp:lastPrinted>2025-02-20T12:56:00Z</cp:lastPrinted>
  <dcterms:created xsi:type="dcterms:W3CDTF">2025-11-10T12:18:00Z</dcterms:created>
  <dcterms:modified xsi:type="dcterms:W3CDTF">2026-01-07T12:00:00Z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