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2CDDD859" w14:textId="77777777" w:rsidR="004F508F" w:rsidRPr="004F508F" w:rsidRDefault="004F508F" w:rsidP="004F508F">
      <w:pPr>
        <w:spacing w:line="276" w:lineRule="auto"/>
        <w:rPr>
          <w:b/>
          <w:sz w:val="22"/>
          <w:szCs w:val="22"/>
        </w:rPr>
      </w:pPr>
      <w:bookmarkStart w:id="0" w:name="_Hlk211852467"/>
      <w:r w:rsidRPr="004F508F">
        <w:rPr>
          <w:b/>
          <w:sz w:val="22"/>
          <w:szCs w:val="22"/>
        </w:rPr>
        <w:t>Karlovarský kraj</w:t>
      </w:r>
    </w:p>
    <w:bookmarkEnd w:id="0"/>
    <w:p w14:paraId="55C1AB78" w14:textId="2784A1D1" w:rsidR="004F508F" w:rsidRPr="004F508F" w:rsidRDefault="004F508F" w:rsidP="004F508F">
      <w:pPr>
        <w:spacing w:line="276" w:lineRule="auto"/>
        <w:rPr>
          <w:sz w:val="22"/>
          <w:szCs w:val="22"/>
        </w:rPr>
      </w:pPr>
      <w:r w:rsidRPr="004F508F"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_Hlk211852482"/>
      <w:r w:rsidRPr="004F508F">
        <w:rPr>
          <w:sz w:val="22"/>
          <w:szCs w:val="22"/>
        </w:rPr>
        <w:t>Závodní 353/88, 360 06 Karlovy Vary</w:t>
      </w:r>
      <w:bookmarkEnd w:id="1"/>
    </w:p>
    <w:p w14:paraId="36672148" w14:textId="77777777" w:rsidR="004F508F" w:rsidRDefault="004F508F" w:rsidP="004F508F">
      <w:pPr>
        <w:spacing w:line="276" w:lineRule="auto"/>
        <w:rPr>
          <w:sz w:val="22"/>
          <w:szCs w:val="22"/>
        </w:rPr>
      </w:pPr>
      <w:r w:rsidRPr="004F508F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2" w:name="_Hlk211852495"/>
      <w:r w:rsidRPr="004F508F">
        <w:rPr>
          <w:sz w:val="22"/>
          <w:szCs w:val="22"/>
        </w:rPr>
        <w:t>70891168</w:t>
      </w:r>
      <w:bookmarkEnd w:id="2"/>
    </w:p>
    <w:p w14:paraId="01DBEBF8" w14:textId="7807394F" w:rsidR="004F508F" w:rsidRPr="004F508F" w:rsidRDefault="004F508F" w:rsidP="004F508F">
      <w:pPr>
        <w:spacing w:line="276" w:lineRule="auto"/>
        <w:rPr>
          <w:sz w:val="22"/>
          <w:szCs w:val="22"/>
        </w:rPr>
      </w:pPr>
      <w:r w:rsidRPr="004F508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F508F">
        <w:rPr>
          <w:sz w:val="22"/>
          <w:szCs w:val="22"/>
        </w:rPr>
        <w:t>CZ70891168</w:t>
      </w:r>
    </w:p>
    <w:p w14:paraId="51C6ADD7" w14:textId="77777777" w:rsidR="00CB3833" w:rsidRPr="00CB3833" w:rsidRDefault="00CB3833" w:rsidP="00CB3833">
      <w:pPr>
        <w:spacing w:line="276" w:lineRule="auto"/>
        <w:rPr>
          <w:sz w:val="22"/>
          <w:szCs w:val="22"/>
        </w:rPr>
      </w:pPr>
      <w:r w:rsidRPr="00CB3833">
        <w:rPr>
          <w:sz w:val="22"/>
          <w:szCs w:val="22"/>
        </w:rPr>
        <w:t xml:space="preserve">Bankovní spojení: </w:t>
      </w:r>
      <w:r w:rsidRPr="00CB3833">
        <w:rPr>
          <w:sz w:val="22"/>
          <w:szCs w:val="22"/>
        </w:rPr>
        <w:tab/>
        <w:t>Česká národní banka</w:t>
      </w:r>
    </w:p>
    <w:p w14:paraId="4E080339" w14:textId="77777777" w:rsidR="00CB3833" w:rsidRPr="00CB3833" w:rsidRDefault="00CB3833" w:rsidP="00CB3833">
      <w:pPr>
        <w:spacing w:line="276" w:lineRule="auto"/>
        <w:rPr>
          <w:sz w:val="22"/>
          <w:szCs w:val="22"/>
        </w:rPr>
      </w:pPr>
      <w:r w:rsidRPr="00CB3833">
        <w:rPr>
          <w:sz w:val="22"/>
          <w:szCs w:val="22"/>
        </w:rPr>
        <w:t>Číslo účtu:</w:t>
      </w:r>
      <w:r w:rsidRPr="00CB3833">
        <w:rPr>
          <w:sz w:val="22"/>
          <w:szCs w:val="22"/>
        </w:rPr>
        <w:tab/>
      </w:r>
      <w:r w:rsidRPr="00CB3833">
        <w:rPr>
          <w:sz w:val="22"/>
          <w:szCs w:val="22"/>
        </w:rPr>
        <w:tab/>
        <w:t>830098-218341/0710</w:t>
      </w:r>
    </w:p>
    <w:p w14:paraId="24706DB0" w14:textId="041CC40A" w:rsidR="00CB3833" w:rsidRPr="00CB3833" w:rsidRDefault="00CB3833" w:rsidP="00CB3833">
      <w:pPr>
        <w:spacing w:line="276" w:lineRule="auto"/>
        <w:rPr>
          <w:sz w:val="22"/>
          <w:szCs w:val="22"/>
        </w:rPr>
      </w:pPr>
      <w:r w:rsidRPr="00CB3833">
        <w:rPr>
          <w:sz w:val="22"/>
          <w:szCs w:val="22"/>
        </w:rPr>
        <w:t xml:space="preserve">zastoupený: </w:t>
      </w:r>
      <w:r w:rsidRPr="00CB3833">
        <w:rPr>
          <w:sz w:val="22"/>
          <w:szCs w:val="22"/>
        </w:rPr>
        <w:tab/>
      </w:r>
      <w:r w:rsidRPr="00CB3833">
        <w:rPr>
          <w:sz w:val="22"/>
          <w:szCs w:val="22"/>
        </w:rPr>
        <w:tab/>
        <w:t xml:space="preserve">Martinem </w:t>
      </w:r>
      <w:proofErr w:type="spellStart"/>
      <w:r w:rsidRPr="00CB3833">
        <w:rPr>
          <w:sz w:val="22"/>
          <w:szCs w:val="22"/>
        </w:rPr>
        <w:t>Hurajčíkem</w:t>
      </w:r>
      <w:proofErr w:type="spellEnd"/>
      <w:r w:rsidRPr="00CB3833">
        <w:rPr>
          <w:sz w:val="22"/>
          <w:szCs w:val="22"/>
        </w:rPr>
        <w:t>, náměstkem hejtmanky</w:t>
      </w:r>
    </w:p>
    <w:p w14:paraId="23C8667D" w14:textId="5E996349" w:rsidR="004F508F" w:rsidRDefault="004F508F" w:rsidP="004F508F">
      <w:pPr>
        <w:spacing w:line="276" w:lineRule="auto"/>
        <w:rPr>
          <w:sz w:val="22"/>
          <w:szCs w:val="22"/>
        </w:rPr>
      </w:pPr>
      <w:r w:rsidRPr="004F508F">
        <w:rPr>
          <w:sz w:val="22"/>
          <w:szCs w:val="22"/>
        </w:rPr>
        <w:t xml:space="preserve">datová schránka: </w:t>
      </w:r>
      <w:r w:rsidR="00CB3833">
        <w:rPr>
          <w:sz w:val="22"/>
          <w:szCs w:val="22"/>
        </w:rPr>
        <w:tab/>
      </w:r>
      <w:r w:rsidRPr="004F508F">
        <w:rPr>
          <w:sz w:val="22"/>
          <w:szCs w:val="22"/>
        </w:rPr>
        <w:t>siqbxt2</w:t>
      </w:r>
    </w:p>
    <w:p w14:paraId="712EB01D" w14:textId="5442DA95" w:rsidR="006B10C9" w:rsidRPr="004F508F" w:rsidRDefault="006B10C9" w:rsidP="004F508F">
      <w:pPr>
        <w:spacing w:line="276" w:lineRule="auto"/>
        <w:rPr>
          <w:i/>
          <w:iCs/>
          <w:sz w:val="22"/>
          <w:szCs w:val="22"/>
        </w:rPr>
      </w:pPr>
      <w:r w:rsidRPr="004F508F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4F508F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535A0526" w:rsidR="006F74D0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F846D47" w14:textId="70507FD6" w:rsidR="004F508F" w:rsidRDefault="004F508F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5B451852" w14:textId="77777777" w:rsidR="004F508F" w:rsidRPr="007D0FAD" w:rsidRDefault="004F508F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45BABF56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 xml:space="preserve">na výkon funkce </w:t>
      </w:r>
      <w:r w:rsidR="004F508F">
        <w:rPr>
          <w:b/>
          <w:spacing w:val="60"/>
          <w:sz w:val="22"/>
          <w:szCs w:val="22"/>
        </w:rPr>
        <w:t>dozoru projektanta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24E72A99" w14:textId="77777777" w:rsidR="004F508F" w:rsidRDefault="004F508F" w:rsidP="00D9652E">
      <w:pPr>
        <w:pStyle w:val="Zkladntext"/>
        <w:spacing w:line="276" w:lineRule="auto"/>
        <w:jc w:val="center"/>
        <w:rPr>
          <w:b/>
          <w:bCs/>
        </w:rPr>
      </w:pPr>
      <w:bookmarkStart w:id="3" w:name="_Hlk211791407"/>
      <w:bookmarkStart w:id="4" w:name="_Hlk198892277"/>
      <w:r w:rsidRPr="004F508F">
        <w:rPr>
          <w:b/>
          <w:bCs/>
        </w:rPr>
        <w:t>Karlovarské inovační centrum</w:t>
      </w:r>
    </w:p>
    <w:bookmarkEnd w:id="3"/>
    <w:p w14:paraId="10E05818" w14:textId="6AADB434" w:rsidR="009A6467" w:rsidRDefault="00AB3D05" w:rsidP="00D9652E">
      <w:pPr>
        <w:pStyle w:val="Zkladntext"/>
        <w:spacing w:line="276" w:lineRule="auto"/>
        <w:jc w:val="center"/>
        <w:rPr>
          <w:b/>
          <w:bCs/>
        </w:rPr>
      </w:pPr>
      <w:r w:rsidRPr="00AB3D05">
        <w:rPr>
          <w:b/>
          <w:bCs/>
        </w:rPr>
        <w:t xml:space="preserve"> </w:t>
      </w:r>
    </w:p>
    <w:bookmarkEnd w:id="4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77777777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597993CF" w:rsidR="006F74D0" w:rsidRPr="00EC6BA8" w:rsidRDefault="006F74D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lastRenderedPageBreak/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A0FF43C" w14:textId="4042FBBF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5CADBDE3" w:rsidR="0030007A" w:rsidRPr="009A6467" w:rsidRDefault="00CD707A" w:rsidP="002B4699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A6467">
        <w:rPr>
          <w:sz w:val="22"/>
          <w:szCs w:val="22"/>
        </w:rPr>
        <w:t xml:space="preserve">Příkazník je </w:t>
      </w:r>
      <w:r w:rsidR="000C5D97" w:rsidRPr="009A6467">
        <w:rPr>
          <w:sz w:val="22"/>
          <w:szCs w:val="22"/>
        </w:rPr>
        <w:t>vybraným dodavatelem</w:t>
      </w:r>
      <w:r w:rsidRPr="009A6467">
        <w:rPr>
          <w:sz w:val="22"/>
          <w:szCs w:val="22"/>
        </w:rPr>
        <w:t xml:space="preserve"> veřejné zakázky</w:t>
      </w:r>
      <w:r w:rsidR="009D684B" w:rsidRPr="009A6467">
        <w:rPr>
          <w:sz w:val="22"/>
          <w:szCs w:val="22"/>
        </w:rPr>
        <w:t xml:space="preserve"> </w:t>
      </w:r>
      <w:r w:rsidR="004F508F" w:rsidRPr="004F508F">
        <w:rPr>
          <w:bCs/>
          <w:i/>
          <w:sz w:val="22"/>
          <w:szCs w:val="22"/>
        </w:rPr>
        <w:t>Karlovarské inovační centrum – výkon dozoru projektanta</w:t>
      </w:r>
      <w:r w:rsidR="004F508F">
        <w:rPr>
          <w:bCs/>
          <w:i/>
          <w:sz w:val="22"/>
          <w:szCs w:val="22"/>
        </w:rPr>
        <w:t>,</w:t>
      </w:r>
      <w:r w:rsidRPr="009A6467">
        <w:rPr>
          <w:sz w:val="22"/>
          <w:szCs w:val="22"/>
        </w:rPr>
        <w:t xml:space="preserve"> vyhlášené</w:t>
      </w:r>
      <w:r w:rsidR="00AB3D05">
        <w:rPr>
          <w:sz w:val="22"/>
          <w:szCs w:val="22"/>
        </w:rPr>
        <w:t xml:space="preserve"> </w:t>
      </w:r>
      <w:r w:rsidRPr="009A6467">
        <w:rPr>
          <w:sz w:val="22"/>
          <w:szCs w:val="22"/>
        </w:rPr>
        <w:t>dn</w:t>
      </w:r>
      <w:r w:rsidR="002B4699">
        <w:rPr>
          <w:sz w:val="22"/>
          <w:szCs w:val="22"/>
        </w:rPr>
        <w:t>e</w:t>
      </w:r>
      <w:r w:rsidR="00AB3D05">
        <w:rPr>
          <w:sz w:val="22"/>
          <w:szCs w:val="22"/>
        </w:rPr>
        <w:t xml:space="preserve"> </w:t>
      </w:r>
      <w:r w:rsidRPr="002B4699">
        <w:rPr>
          <w:sz w:val="22"/>
          <w:szCs w:val="22"/>
          <w:highlight w:val="lightGray"/>
        </w:rPr>
        <w:t>……………….</w:t>
      </w:r>
      <w:r w:rsidRPr="009A6467">
        <w:rPr>
          <w:sz w:val="22"/>
          <w:szCs w:val="22"/>
        </w:rPr>
        <w:t xml:space="preserve"> </w:t>
      </w:r>
      <w:r w:rsidR="00673E5C" w:rsidRPr="009A6467">
        <w:rPr>
          <w:sz w:val="22"/>
          <w:szCs w:val="22"/>
        </w:rPr>
        <w:t xml:space="preserve">Karlovarským krajem </w:t>
      </w:r>
      <w:r w:rsidRPr="009A6467">
        <w:rPr>
          <w:sz w:val="22"/>
          <w:szCs w:val="22"/>
        </w:rPr>
        <w:t>jako</w:t>
      </w:r>
      <w:r w:rsidR="00AB3D05">
        <w:rPr>
          <w:sz w:val="22"/>
          <w:szCs w:val="22"/>
        </w:rPr>
        <w:t xml:space="preserve"> </w:t>
      </w:r>
      <w:r w:rsidRPr="009A6467">
        <w:rPr>
          <w:sz w:val="22"/>
          <w:szCs w:val="22"/>
        </w:rPr>
        <w:t xml:space="preserve">zadavatelem </w:t>
      </w:r>
      <w:r w:rsidR="004F508F">
        <w:rPr>
          <w:sz w:val="22"/>
          <w:szCs w:val="22"/>
        </w:rPr>
        <w:t xml:space="preserve">nadlimitní </w:t>
      </w:r>
      <w:r w:rsidRPr="009A6467">
        <w:rPr>
          <w:sz w:val="22"/>
          <w:szCs w:val="22"/>
        </w:rPr>
        <w:t xml:space="preserve">veřejné </w:t>
      </w:r>
      <w:r w:rsidR="000F5DB9" w:rsidRPr="009A6467">
        <w:rPr>
          <w:sz w:val="22"/>
          <w:szCs w:val="22"/>
        </w:rPr>
        <w:t>zakázky zadané</w:t>
      </w:r>
      <w:r w:rsidR="00673E5C" w:rsidRPr="009A6467">
        <w:rPr>
          <w:sz w:val="22"/>
          <w:szCs w:val="22"/>
        </w:rPr>
        <w:t xml:space="preserve"> </w:t>
      </w:r>
      <w:r w:rsidR="004F508F">
        <w:rPr>
          <w:sz w:val="22"/>
          <w:szCs w:val="22"/>
        </w:rPr>
        <w:t>v otevřeném režimu.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13CB502C" w:rsidR="006407DD" w:rsidRPr="007A34D1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provádění dozoru</w:t>
      </w:r>
      <w:r w:rsidR="004F508F">
        <w:rPr>
          <w:sz w:val="22"/>
          <w:szCs w:val="22"/>
        </w:rPr>
        <w:t xml:space="preserve"> projektanta</w:t>
      </w:r>
      <w:r w:rsidRPr="007A34D1">
        <w:rPr>
          <w:sz w:val="22"/>
          <w:szCs w:val="22"/>
        </w:rPr>
        <w:t xml:space="preserve"> </w:t>
      </w:r>
      <w:r w:rsidR="00552B52" w:rsidRPr="00552B52">
        <w:rPr>
          <w:sz w:val="22"/>
          <w:szCs w:val="22"/>
        </w:rPr>
        <w:t xml:space="preserve">v souladu s § </w:t>
      </w:r>
      <w:r w:rsidR="004F508F">
        <w:rPr>
          <w:sz w:val="22"/>
          <w:szCs w:val="22"/>
        </w:rPr>
        <w:t>14</w:t>
      </w:r>
      <w:r w:rsidR="00552B52" w:rsidRPr="00552B52">
        <w:rPr>
          <w:sz w:val="22"/>
          <w:szCs w:val="22"/>
        </w:rPr>
        <w:t xml:space="preserve"> </w:t>
      </w:r>
      <w:r w:rsidR="004F508F">
        <w:rPr>
          <w:sz w:val="22"/>
          <w:szCs w:val="22"/>
        </w:rPr>
        <w:t>písm. h)</w:t>
      </w:r>
      <w:r w:rsidR="00552B52" w:rsidRPr="00552B52">
        <w:rPr>
          <w:sz w:val="22"/>
          <w:szCs w:val="22"/>
        </w:rPr>
        <w:t xml:space="preserve">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>283/2021 Sb., stavební zákon, ve znění pozdějších předpisů</w:t>
      </w:r>
      <w:r w:rsidR="00D03ADA">
        <w:rPr>
          <w:sz w:val="22"/>
          <w:szCs w:val="22"/>
        </w:rPr>
        <w:t>,</w:t>
      </w:r>
      <w:r w:rsidR="00552B52" w:rsidRPr="00552B52">
        <w:rPr>
          <w:sz w:val="22"/>
          <w:szCs w:val="22"/>
        </w:rPr>
        <w:t xml:space="preserve"> po dobu </w:t>
      </w:r>
      <w:r w:rsidR="00D03ADA">
        <w:rPr>
          <w:sz w:val="22"/>
          <w:szCs w:val="22"/>
        </w:rPr>
        <w:t xml:space="preserve">zbývající </w:t>
      </w:r>
      <w:r w:rsidR="00552B52" w:rsidRPr="00552B52">
        <w:rPr>
          <w:sz w:val="22"/>
          <w:szCs w:val="22"/>
        </w:rPr>
        <w:t xml:space="preserve">realizace stavby </w:t>
      </w:r>
      <w:r w:rsidR="00D03ADA" w:rsidRPr="004F508F">
        <w:rPr>
          <w:bCs/>
          <w:i/>
          <w:sz w:val="22"/>
          <w:szCs w:val="22"/>
        </w:rPr>
        <w:t>Karlovarské</w:t>
      </w:r>
      <w:r w:rsidR="00D03ADA">
        <w:rPr>
          <w:bCs/>
          <w:i/>
          <w:sz w:val="22"/>
          <w:szCs w:val="22"/>
        </w:rPr>
        <w:t>ho</w:t>
      </w:r>
      <w:r w:rsidR="00D03ADA" w:rsidRPr="004F508F">
        <w:rPr>
          <w:bCs/>
          <w:i/>
          <w:sz w:val="22"/>
          <w:szCs w:val="22"/>
        </w:rPr>
        <w:t xml:space="preserve"> inovační</w:t>
      </w:r>
      <w:r w:rsidR="00D03ADA">
        <w:rPr>
          <w:bCs/>
          <w:i/>
          <w:sz w:val="22"/>
          <w:szCs w:val="22"/>
        </w:rPr>
        <w:t>ho</w:t>
      </w:r>
      <w:r w:rsidR="00D03ADA" w:rsidRPr="004F508F">
        <w:rPr>
          <w:bCs/>
          <w:i/>
          <w:sz w:val="22"/>
          <w:szCs w:val="22"/>
        </w:rPr>
        <w:t xml:space="preserve"> centr</w:t>
      </w:r>
      <w:r w:rsidR="00D03ADA">
        <w:rPr>
          <w:bCs/>
          <w:i/>
          <w:sz w:val="22"/>
          <w:szCs w:val="22"/>
        </w:rPr>
        <w:t>a</w:t>
      </w:r>
      <w:r w:rsidR="00D03ADA" w:rsidRPr="004F508F">
        <w:rPr>
          <w:bCs/>
          <w:i/>
          <w:sz w:val="22"/>
          <w:szCs w:val="22"/>
        </w:rPr>
        <w:t xml:space="preserve">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 xml:space="preserve">. U dozoru </w:t>
      </w:r>
      <w:r w:rsidR="00D03ADA">
        <w:rPr>
          <w:sz w:val="22"/>
          <w:szCs w:val="22"/>
        </w:rPr>
        <w:t>projektanta</w:t>
      </w:r>
      <w:r w:rsidR="00552B52">
        <w:rPr>
          <w:sz w:val="22"/>
          <w:szCs w:val="22"/>
        </w:rPr>
        <w:t xml:space="preserve"> </w:t>
      </w:r>
      <w:r w:rsidR="00064E34">
        <w:rPr>
          <w:sz w:val="22"/>
          <w:szCs w:val="22"/>
        </w:rPr>
        <w:t>(dále jen „</w:t>
      </w:r>
      <w:r w:rsidR="00552B52">
        <w:rPr>
          <w:sz w:val="22"/>
          <w:szCs w:val="22"/>
        </w:rPr>
        <w:t>D</w:t>
      </w:r>
      <w:r w:rsidR="00D03ADA">
        <w:rPr>
          <w:sz w:val="22"/>
          <w:szCs w:val="22"/>
        </w:rPr>
        <w:t>P</w:t>
      </w:r>
      <w:r w:rsidR="00064E34"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="00D03ADA" w:rsidRPr="00D03ADA">
        <w:rPr>
          <w:sz w:val="22"/>
          <w:szCs w:val="22"/>
        </w:rPr>
        <w:t xml:space="preserve">průběžný odborný dozor nad souladem realizace dokumentace pro provádění záměru s dokumentací o povolení záměru a nad prováděním záměru v souladu s dokumentací </w:t>
      </w:r>
      <w:r w:rsidR="004476D5">
        <w:rPr>
          <w:sz w:val="22"/>
          <w:szCs w:val="22"/>
        </w:rPr>
        <w:br/>
      </w:r>
      <w:r w:rsidR="00D03ADA" w:rsidRPr="00D03ADA">
        <w:rPr>
          <w:sz w:val="22"/>
          <w:szCs w:val="22"/>
        </w:rPr>
        <w:t>pro provedení záměru</w:t>
      </w:r>
      <w:r w:rsidR="00552B52">
        <w:rPr>
          <w:sz w:val="22"/>
          <w:szCs w:val="22"/>
        </w:rPr>
        <w:t xml:space="preserve">. </w:t>
      </w:r>
    </w:p>
    <w:p w14:paraId="69DEDB49" w14:textId="70AA85D8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bude probíhat v souladu s pokyny </w:t>
      </w:r>
      <w:r w:rsidR="00D03ADA">
        <w:rPr>
          <w:sz w:val="22"/>
          <w:szCs w:val="22"/>
        </w:rPr>
        <w:t>příkazce</w:t>
      </w:r>
      <w:r w:rsidRPr="007A34D1">
        <w:rPr>
          <w:sz w:val="22"/>
          <w:szCs w:val="22"/>
        </w:rPr>
        <w:t>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45F0A75B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</w:t>
      </w:r>
      <w:r w:rsidR="00D03ADA">
        <w:rPr>
          <w:snapToGrid w:val="0"/>
          <w:sz w:val="22"/>
          <w:szCs w:val="22"/>
        </w:rPr>
        <w:t>zníka</w:t>
      </w:r>
      <w:r w:rsidR="00D045DC" w:rsidRPr="007A34D1">
        <w:rPr>
          <w:snapToGrid w:val="0"/>
          <w:sz w:val="22"/>
          <w:szCs w:val="22"/>
        </w:rPr>
        <w:t>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738C80F3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poskytování vysvětlení a rad při vypracovávání dílenské a výrobní dokumentace zhotovitelem stavby;</w:t>
      </w:r>
    </w:p>
    <w:p w14:paraId="703BE827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vypracování alternativních řešení v průběhu stavby (technických, dispozičních řešení a detailů a jejich provedení);</w:t>
      </w:r>
    </w:p>
    <w:p w14:paraId="4546265D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kontrolu provádění stavby podle dokumentace pro provádění stavby;</w:t>
      </w:r>
    </w:p>
    <w:p w14:paraId="2F3AA3EA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kontrolu souladu provádění stavby s podmínkami rozhodnutí o umístění stavby;</w:t>
      </w:r>
    </w:p>
    <w:p w14:paraId="77AF1196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dodržování podmínek pro stavbu tak, jak jsou určeny stavebním povolením a stanovisky;</w:t>
      </w:r>
    </w:p>
    <w:p w14:paraId="12428F92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dotčených účastníků výstavby, které jsou ve stavebním povolení stanoveny jako závazné;</w:t>
      </w:r>
    </w:p>
    <w:p w14:paraId="1E8A930E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poskytnutí součinnosti při převzetí stavby, odstraňování vad a nedodělků a při případných reklamačních řízeních;</w:t>
      </w:r>
    </w:p>
    <w:p w14:paraId="453850B5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poradenství při provádění detailů a složitějších atypických konstrukcí;</w:t>
      </w:r>
    </w:p>
    <w:p w14:paraId="1C7D1AAE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kontrolu stavebního deníku a pořizování zápisů;</w:t>
      </w:r>
    </w:p>
    <w:p w14:paraId="06754068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účast na řízeních v případech, kdy je nutné vysvětlit souvislosti s dokumentací stavby;</w:t>
      </w:r>
    </w:p>
    <w:p w14:paraId="5B349C4A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účast na kontrolních dnech a prohlídkách stavby a konzultace na staveništi;</w:t>
      </w:r>
    </w:p>
    <w:p w14:paraId="0C5C99CE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sledování souladu vytyčovacích výkresů se situací stavby;</w:t>
      </w:r>
    </w:p>
    <w:p w14:paraId="57851BEC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poskytování vysvětlení potřebných k dokumentaci stavby;</w:t>
      </w:r>
    </w:p>
    <w:p w14:paraId="288D0D65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koordinace při zpracování realizačních projektů, pokud budou ve fázi realizace stavby zpracovány;</w:t>
      </w:r>
    </w:p>
    <w:p w14:paraId="46479B4E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 xml:space="preserve">posuzování návrhů účastníků výstavby na odchylky a změny proti příslušné části dokumentace stavby z pohledu dodržení </w:t>
      </w:r>
      <w:proofErr w:type="spellStart"/>
      <w:r w:rsidRPr="00D03ADA">
        <w:rPr>
          <w:sz w:val="22"/>
          <w:szCs w:val="22"/>
        </w:rPr>
        <w:t>technicko-ekonomických</w:t>
      </w:r>
      <w:proofErr w:type="spellEnd"/>
      <w:r w:rsidRPr="00D03ADA">
        <w:rPr>
          <w:sz w:val="22"/>
          <w:szCs w:val="22"/>
        </w:rPr>
        <w:t xml:space="preserve"> parametrů stavby, dodržení lhůt výstavby včetně poskytování vyjádření k případným požadavkům na větší </w:t>
      </w:r>
      <w:r w:rsidRPr="00D03ADA">
        <w:rPr>
          <w:sz w:val="22"/>
          <w:szCs w:val="22"/>
        </w:rPr>
        <w:lastRenderedPageBreak/>
        <w:t>množství výrobků a výkonů oproti dokumentaci stavby;</w:t>
      </w:r>
    </w:p>
    <w:p w14:paraId="441DE158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kontrola podkladů předkládaných zhotovitelem stavby k uplatněným změnám stavby a vydávání stanovisek k takovým změnám;</w:t>
      </w:r>
    </w:p>
    <w:p w14:paraId="495AB6EC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příprava podkladů pro případná změnová řízení, pokud se týkají projektové dokumentace;</w:t>
      </w:r>
    </w:p>
    <w:p w14:paraId="3828604A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účast při předání jednotlivých etap, či ucelených částí stavby, dále kontrola částí stavby, nebo inženýrských sítí a objektů, které mají být zakryty, nebo se jinak stanou nepřístupnými;</w:t>
      </w:r>
    </w:p>
    <w:p w14:paraId="0002C796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účast při předání a převzetí dokončené části nebo celé stavby a kolaudaci;</w:t>
      </w:r>
    </w:p>
    <w:p w14:paraId="05AF6AA9" w14:textId="77777777" w:rsidR="00D03ADA" w:rsidRPr="00D03ADA" w:rsidRDefault="00D03ADA" w:rsidP="00D03ADA">
      <w:pPr>
        <w:pStyle w:val="Zkladntextodsazen"/>
        <w:numPr>
          <w:ilvl w:val="0"/>
          <w:numId w:val="28"/>
        </w:numPr>
        <w:spacing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>poskytování běžných konzultací účastníkům výstavby, pokud jde o souvislosti dodávek a výstavby s dokumentací stavby;</w:t>
      </w:r>
    </w:p>
    <w:p w14:paraId="2B68AC50" w14:textId="69543406" w:rsidR="00D03ADA" w:rsidRPr="00B71B25" w:rsidRDefault="00D03ADA" w:rsidP="005F033C">
      <w:pPr>
        <w:pStyle w:val="Zkladntextodsazen"/>
        <w:numPr>
          <w:ilvl w:val="0"/>
          <w:numId w:val="28"/>
        </w:numPr>
        <w:spacing w:after="120" w:line="276" w:lineRule="auto"/>
        <w:ind w:right="-45"/>
        <w:rPr>
          <w:sz w:val="22"/>
          <w:szCs w:val="22"/>
        </w:rPr>
      </w:pPr>
      <w:r w:rsidRPr="00D03ADA">
        <w:rPr>
          <w:sz w:val="22"/>
          <w:szCs w:val="22"/>
        </w:rPr>
        <w:t xml:space="preserve">spolupráce s koordinátorem bezpečnosti a ochrany zdraví při práci na staveništi a s </w:t>
      </w:r>
      <w:r w:rsidRPr="00B71B25">
        <w:rPr>
          <w:sz w:val="22"/>
          <w:szCs w:val="22"/>
        </w:rPr>
        <w:t xml:space="preserve">technickým dozorem stavebníka. </w:t>
      </w:r>
    </w:p>
    <w:p w14:paraId="4C7E1A10" w14:textId="53FB03FD" w:rsidR="00452D57" w:rsidRDefault="00452D57" w:rsidP="00877077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B71B25">
        <w:rPr>
          <w:sz w:val="22"/>
          <w:szCs w:val="22"/>
        </w:rPr>
        <w:t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</w:t>
      </w:r>
      <w:r w:rsidRPr="00872912">
        <w:rPr>
          <w:sz w:val="22"/>
          <w:szCs w:val="22"/>
        </w:rPr>
        <w:t xml:space="preserve">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03C9FFA8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 w:rsidR="00D03ADA">
        <w:rPr>
          <w:sz w:val="22"/>
          <w:szCs w:val="22"/>
        </w:rPr>
        <w:t>výkonu dozoru projektanta</w:t>
      </w:r>
      <w:r>
        <w:rPr>
          <w:sz w:val="22"/>
          <w:szCs w:val="22"/>
        </w:rPr>
        <w:t xml:space="preserve">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60A8B312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</w:t>
      </w:r>
      <w:r w:rsidR="00D97D70">
        <w:rPr>
          <w:sz w:val="22"/>
          <w:szCs w:val="22"/>
        </w:rPr>
        <w:t>ce</w:t>
      </w:r>
      <w:r w:rsidRPr="00FC15B6">
        <w:rPr>
          <w:sz w:val="22"/>
          <w:szCs w:val="22"/>
        </w:rPr>
        <w:t xml:space="preserve">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lastRenderedPageBreak/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449CACC5" w14:textId="4CE9E25C" w:rsidR="005C66D6" w:rsidRDefault="005C66D6" w:rsidP="00197336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 xml:space="preserve">řádný výkon sjednané činnosti, a to ke dni podpisu příkazní smlouvy. Jedná se zejména o: </w:t>
      </w:r>
    </w:p>
    <w:p w14:paraId="190864C2" w14:textId="10D814CA" w:rsidR="00C5516D" w:rsidRPr="00D03ADA" w:rsidRDefault="009F7B88" w:rsidP="00FC1F1F">
      <w:pPr>
        <w:pStyle w:val="Odstavecseseznamem"/>
        <w:numPr>
          <w:ilvl w:val="0"/>
          <w:numId w:val="19"/>
        </w:numPr>
        <w:spacing w:after="120" w:line="276" w:lineRule="auto"/>
        <w:ind w:left="993" w:hanging="284"/>
        <w:contextualSpacing w:val="0"/>
        <w:jc w:val="both"/>
        <w:rPr>
          <w:sz w:val="22"/>
          <w:szCs w:val="22"/>
        </w:rPr>
      </w:pPr>
      <w:r w:rsidRPr="00420FAE">
        <w:rPr>
          <w:sz w:val="22"/>
          <w:szCs w:val="22"/>
        </w:rPr>
        <w:t xml:space="preserve">projektovou dokumentaci ke stavbě </w:t>
      </w:r>
      <w:bookmarkStart w:id="5" w:name="_Hlk211792061"/>
      <w:r w:rsidR="00D03ADA" w:rsidRPr="00D03ADA">
        <w:rPr>
          <w:bCs/>
          <w:i/>
          <w:sz w:val="22"/>
          <w:szCs w:val="22"/>
        </w:rPr>
        <w:t>Karlovarské inovační centrum</w:t>
      </w:r>
      <w:r w:rsidR="00D03ADA">
        <w:rPr>
          <w:bCs/>
          <w:i/>
          <w:sz w:val="22"/>
          <w:szCs w:val="22"/>
        </w:rPr>
        <w:t xml:space="preserve"> </w:t>
      </w:r>
      <w:bookmarkEnd w:id="5"/>
      <w:r w:rsidR="00D03ADA" w:rsidRPr="00D03ADA">
        <w:rPr>
          <w:bCs/>
          <w:sz w:val="22"/>
          <w:szCs w:val="22"/>
        </w:rPr>
        <w:t>včetně dosud provedených změn</w:t>
      </w:r>
      <w:r w:rsidR="00FC1F1F" w:rsidRPr="00D03ADA">
        <w:rPr>
          <w:sz w:val="22"/>
          <w:szCs w:val="22"/>
        </w:rPr>
        <w:t>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3571CA6D" w14:textId="51F94904" w:rsidR="00D03ADA" w:rsidRPr="00D03ADA" w:rsidRDefault="00D03ADA" w:rsidP="00D03AD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bookmarkStart w:id="6" w:name="_Hlk211858609"/>
      <w:r w:rsidRPr="00D03ADA">
        <w:rPr>
          <w:rFonts w:ascii="Times New Roman" w:hAnsi="Times New Roman"/>
          <w:szCs w:val="22"/>
        </w:rPr>
        <w:t>cena za 1 hodinu výkonu dozoru projektanta</w:t>
      </w:r>
      <w:r w:rsidR="00B53ECD">
        <w:rPr>
          <w:rFonts w:ascii="Times New Roman" w:hAnsi="Times New Roman"/>
          <w:szCs w:val="22"/>
        </w:rPr>
        <w:t xml:space="preserve"> </w:t>
      </w:r>
      <w:bookmarkEnd w:id="6"/>
      <w:r w:rsidRPr="00D03ADA">
        <w:rPr>
          <w:rFonts w:ascii="Times New Roman" w:hAnsi="Times New Roman"/>
          <w:szCs w:val="22"/>
        </w:rPr>
        <w:t>bez DPH</w:t>
      </w:r>
      <w:r w:rsidR="00722456">
        <w:rPr>
          <w:rFonts w:ascii="Times New Roman" w:hAnsi="Times New Roman"/>
          <w:szCs w:val="22"/>
        </w:rPr>
        <w:t>*</w:t>
      </w:r>
      <w:r w:rsidRPr="00D03ADA">
        <w:rPr>
          <w:rFonts w:ascii="Times New Roman" w:hAnsi="Times New Roman"/>
          <w:szCs w:val="22"/>
        </w:rPr>
        <w:t xml:space="preserve">: </w:t>
      </w:r>
      <w:r w:rsidR="00B53ECD">
        <w:rPr>
          <w:rFonts w:ascii="Times New Roman" w:hAnsi="Times New Roman"/>
          <w:szCs w:val="22"/>
        </w:rPr>
        <w:t xml:space="preserve"> </w:t>
      </w:r>
      <w:r w:rsidR="00B53ECD" w:rsidRPr="00B53ECD">
        <w:rPr>
          <w:rFonts w:ascii="Times New Roman" w:hAnsi="Times New Roman"/>
          <w:szCs w:val="22"/>
          <w:highlight w:val="yellow"/>
        </w:rPr>
        <w:t>.</w:t>
      </w:r>
      <w:r w:rsidRPr="00B53ECD">
        <w:rPr>
          <w:rFonts w:ascii="Times New Roman" w:hAnsi="Times New Roman"/>
          <w:szCs w:val="22"/>
          <w:highlight w:val="yellow"/>
        </w:rPr>
        <w:t>…………..</w:t>
      </w:r>
      <w:r w:rsidRPr="00D03ADA">
        <w:rPr>
          <w:rFonts w:ascii="Times New Roman" w:hAnsi="Times New Roman"/>
          <w:szCs w:val="22"/>
        </w:rPr>
        <w:t xml:space="preserve"> Kč</w:t>
      </w:r>
    </w:p>
    <w:p w14:paraId="696F9A6D" w14:textId="5409E0F8" w:rsidR="00D03ADA" w:rsidRPr="00D03ADA" w:rsidRDefault="00D03ADA" w:rsidP="00D03AD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D03ADA">
        <w:rPr>
          <w:rFonts w:ascii="Times New Roman" w:hAnsi="Times New Roman"/>
          <w:szCs w:val="22"/>
        </w:rPr>
        <w:t xml:space="preserve">DPH:                 </w:t>
      </w:r>
      <w:r w:rsidRPr="00D03ADA">
        <w:rPr>
          <w:rFonts w:ascii="Times New Roman" w:hAnsi="Times New Roman"/>
          <w:szCs w:val="22"/>
        </w:rPr>
        <w:tab/>
      </w:r>
      <w:r w:rsidRPr="00D03ADA">
        <w:rPr>
          <w:rFonts w:ascii="Times New Roman" w:hAnsi="Times New Roman"/>
          <w:szCs w:val="22"/>
        </w:rPr>
        <w:tab/>
      </w:r>
      <w:r w:rsidRPr="00D03ADA">
        <w:rPr>
          <w:rFonts w:ascii="Times New Roman" w:hAnsi="Times New Roman"/>
          <w:szCs w:val="22"/>
        </w:rPr>
        <w:tab/>
      </w:r>
      <w:r w:rsidRPr="00D03ADA">
        <w:rPr>
          <w:rFonts w:ascii="Times New Roman" w:hAnsi="Times New Roman"/>
          <w:szCs w:val="22"/>
        </w:rPr>
        <w:tab/>
      </w:r>
      <w:r w:rsidRPr="00D03ADA">
        <w:rPr>
          <w:rFonts w:ascii="Times New Roman" w:hAnsi="Times New Roman"/>
          <w:szCs w:val="22"/>
        </w:rPr>
        <w:tab/>
        <w:t xml:space="preserve">   </w:t>
      </w:r>
      <w:r w:rsidR="00B53ECD">
        <w:rPr>
          <w:rFonts w:ascii="Times New Roman" w:hAnsi="Times New Roman"/>
          <w:szCs w:val="22"/>
        </w:rPr>
        <w:t xml:space="preserve">  </w:t>
      </w:r>
      <w:r w:rsidR="00B53ECD" w:rsidRPr="00B53ECD">
        <w:rPr>
          <w:rFonts w:ascii="Times New Roman" w:hAnsi="Times New Roman"/>
          <w:szCs w:val="22"/>
          <w:highlight w:val="yellow"/>
        </w:rPr>
        <w:t>…………</w:t>
      </w:r>
      <w:r w:rsidR="00B53ECD">
        <w:rPr>
          <w:rFonts w:ascii="Times New Roman" w:hAnsi="Times New Roman"/>
          <w:szCs w:val="22"/>
          <w:highlight w:val="yellow"/>
        </w:rPr>
        <w:t>...</w:t>
      </w:r>
      <w:r w:rsidRPr="00D03ADA">
        <w:rPr>
          <w:rFonts w:ascii="Times New Roman" w:hAnsi="Times New Roman"/>
          <w:szCs w:val="22"/>
        </w:rPr>
        <w:t xml:space="preserve"> Kč</w:t>
      </w:r>
    </w:p>
    <w:p w14:paraId="798437D6" w14:textId="77777777" w:rsidR="00D03ADA" w:rsidRPr="00D03ADA" w:rsidRDefault="00D03ADA" w:rsidP="00D03AD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D03ADA">
        <w:rPr>
          <w:rFonts w:ascii="Times New Roman" w:hAnsi="Times New Roman"/>
          <w:szCs w:val="22"/>
        </w:rPr>
        <w:t>-------------------------------------------------------------------------------</w:t>
      </w:r>
    </w:p>
    <w:p w14:paraId="23A28E0C" w14:textId="096A2FDC" w:rsidR="0004666C" w:rsidRPr="00286074" w:rsidRDefault="00D03ADA" w:rsidP="00D03ADA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D03ADA">
        <w:rPr>
          <w:rFonts w:ascii="Times New Roman" w:hAnsi="Times New Roman"/>
          <w:szCs w:val="22"/>
        </w:rPr>
        <w:t>cena za 1 hodinu výkonu dozoru projektanta</w:t>
      </w:r>
      <w:r w:rsidR="00B53ECD">
        <w:rPr>
          <w:rFonts w:ascii="Times New Roman" w:hAnsi="Times New Roman"/>
          <w:szCs w:val="22"/>
        </w:rPr>
        <w:t xml:space="preserve"> </w:t>
      </w:r>
      <w:r w:rsidRPr="00D03ADA">
        <w:rPr>
          <w:rFonts w:ascii="Times New Roman" w:hAnsi="Times New Roman"/>
          <w:szCs w:val="22"/>
        </w:rPr>
        <w:t xml:space="preserve">včetně DPH: </w:t>
      </w:r>
      <w:r w:rsidR="00B53ECD" w:rsidRPr="00B53ECD">
        <w:rPr>
          <w:rFonts w:ascii="Times New Roman" w:hAnsi="Times New Roman"/>
          <w:szCs w:val="22"/>
          <w:highlight w:val="yellow"/>
        </w:rPr>
        <w:t>………….</w:t>
      </w:r>
      <w:r w:rsidR="00B53ECD" w:rsidRPr="00D03ADA">
        <w:rPr>
          <w:rFonts w:ascii="Times New Roman" w:hAnsi="Times New Roman"/>
          <w:szCs w:val="22"/>
        </w:rPr>
        <w:t xml:space="preserve"> Kč</w:t>
      </w: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62D86200" w:rsidR="0004666C" w:rsidRDefault="00722456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22456">
        <w:rPr>
          <w:rFonts w:ascii="Times New Roman" w:hAnsi="Times New Roman"/>
          <w:szCs w:val="22"/>
        </w:rPr>
        <w:t>cena za 1 hodinu výkonu dozoru projektanta</w:t>
      </w:r>
      <w:r w:rsidR="0004666C" w:rsidRPr="00286074">
        <w:rPr>
          <w:rFonts w:ascii="Times New Roman" w:hAnsi="Times New Roman"/>
          <w:szCs w:val="22"/>
        </w:rPr>
        <w:t>*:</w:t>
      </w:r>
      <w:r w:rsidR="0004666C" w:rsidRPr="00286074">
        <w:rPr>
          <w:rFonts w:ascii="Times New Roman" w:hAnsi="Times New Roman"/>
          <w:szCs w:val="22"/>
        </w:rPr>
        <w:tab/>
      </w:r>
      <w:r w:rsidR="0004666C"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="0004666C"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</w:t>
      </w:r>
      <w:proofErr w:type="spellStart"/>
      <w:r w:rsidR="00751786" w:rsidRPr="007A34D1">
        <w:t>fotopráce</w:t>
      </w:r>
      <w:proofErr w:type="spellEnd"/>
      <w:r w:rsidR="00751786" w:rsidRPr="007A34D1">
        <w:t xml:space="preserve"> </w:t>
      </w:r>
      <w:r w:rsidR="00CD6359" w:rsidRPr="007A34D1">
        <w:t xml:space="preserve">a </w:t>
      </w:r>
      <w:proofErr w:type="spellStart"/>
      <w:r w:rsidRPr="007A34D1">
        <w:t>videopráce</w:t>
      </w:r>
      <w:proofErr w:type="spellEnd"/>
      <w:r w:rsidRPr="007A34D1">
        <w:t>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79CF60DA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</w:t>
      </w:r>
      <w:r w:rsidR="004476D5">
        <w:br/>
      </w:r>
      <w:r w:rsidRPr="007A34D1">
        <w:t xml:space="preserve">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7DE77E64" w14:textId="23C3863B" w:rsidR="00B53ECD" w:rsidRPr="00B53ECD" w:rsidRDefault="00B53ECD" w:rsidP="00B53ECD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53ECD">
        <w:t>Cena dle čl. I</w:t>
      </w:r>
      <w:r>
        <w:t>I</w:t>
      </w:r>
      <w:r w:rsidRPr="00B53ECD">
        <w:t xml:space="preserve">I. odst. </w:t>
      </w:r>
      <w:r>
        <w:t>3.1</w:t>
      </w:r>
      <w:r w:rsidRPr="00B53ECD">
        <w:t xml:space="preserve"> smlouvy bude </w:t>
      </w:r>
      <w:r>
        <w:t>příkazcem příkazníkovi</w:t>
      </w:r>
      <w:r w:rsidRPr="00B53ECD">
        <w:t xml:space="preserve"> hrazena dílčími platbami 1x měsíčně na základě dílčích faktur vystavených </w:t>
      </w:r>
      <w:r>
        <w:t>příkazníkem</w:t>
      </w:r>
      <w:r w:rsidRPr="00B53ECD">
        <w:t xml:space="preserve"> a předaných </w:t>
      </w:r>
      <w:r>
        <w:t>příkazci</w:t>
      </w:r>
      <w:r w:rsidRPr="00B53ECD">
        <w:t xml:space="preserve">, včetně </w:t>
      </w:r>
      <w:r>
        <w:t>příkazcem</w:t>
      </w:r>
      <w:r w:rsidRPr="00B53ECD">
        <w:t xml:space="preserve"> odsouhlasených výkazů odpracovaných hodin. Výkaz odpracovaných hodin je povinen </w:t>
      </w:r>
      <w:r>
        <w:t>příkazník</w:t>
      </w:r>
      <w:r w:rsidRPr="00B53ECD">
        <w:t xml:space="preserve"> předložit </w:t>
      </w:r>
      <w:r>
        <w:t>příkazci</w:t>
      </w:r>
      <w:r w:rsidRPr="00B53ECD">
        <w:t xml:space="preserve"> vždy nejpozději do 5. kalendářního dne měsíce následujícího </w:t>
      </w:r>
      <w:r w:rsidR="004476D5">
        <w:br/>
      </w:r>
      <w:r w:rsidRPr="00B53ECD">
        <w:t xml:space="preserve">po měsíci, za který je předkládán výkaz odpracovaných hodin. </w:t>
      </w:r>
      <w:r>
        <w:t>Příkazce</w:t>
      </w:r>
      <w:r w:rsidRPr="00B53ECD">
        <w:t xml:space="preserve"> je povinen odsouhlasený výkaz odpracovaných hodin předat </w:t>
      </w:r>
      <w:r>
        <w:t>příkazníkovi</w:t>
      </w:r>
      <w:r w:rsidRPr="00B53ECD">
        <w:t xml:space="preserve"> do 5 pracovních dní poté, co mu byl předán </w:t>
      </w:r>
      <w:r>
        <w:t>příkazníkem</w:t>
      </w:r>
      <w:r w:rsidRPr="00B53ECD">
        <w:t xml:space="preserve">, nebo ve stejné lhůtě oznámit </w:t>
      </w:r>
      <w:r>
        <w:t>příkazníkovi</w:t>
      </w:r>
      <w:r w:rsidRPr="00B53ECD">
        <w:t xml:space="preserve">, že s předloženým výkazem nesouhlasí a uvést, se kterými údaji nesouhlasí a v jakém rozsahu. V případě, že </w:t>
      </w:r>
      <w:r>
        <w:t>příkazce</w:t>
      </w:r>
      <w:r w:rsidRPr="00B53ECD">
        <w:t xml:space="preserve"> oznámí </w:t>
      </w:r>
      <w:r>
        <w:t>příkazníkovi</w:t>
      </w:r>
      <w:r w:rsidRPr="00B53ECD">
        <w:t xml:space="preserve">, že s předloženým výkazem nesouhlasí, je </w:t>
      </w:r>
      <w:r>
        <w:t>příkazník</w:t>
      </w:r>
      <w:r w:rsidRPr="00B53ECD">
        <w:t xml:space="preserve"> povinen hodnověrným způsobem doložit údaje, se kterými </w:t>
      </w:r>
      <w:r>
        <w:t xml:space="preserve">příkazce </w:t>
      </w:r>
      <w:r w:rsidRPr="00B53ECD">
        <w:t xml:space="preserve">nesouhlasí, a vyhotovit nový výkaz odpracovaných hodin, který bude obsahovat pouze údaje, se kterými </w:t>
      </w:r>
      <w:r>
        <w:t>příkazce</w:t>
      </w:r>
      <w:r w:rsidRPr="00B53ECD">
        <w:t xml:space="preserve"> projevil souhlas, nebo které </w:t>
      </w:r>
      <w:r>
        <w:t>příkazník</w:t>
      </w:r>
      <w:r w:rsidRPr="00B53ECD">
        <w:t xml:space="preserve"> hodnověrně doložil, a předložit jej </w:t>
      </w:r>
      <w:r>
        <w:t>příkazci</w:t>
      </w:r>
      <w:r w:rsidRPr="00B53ECD">
        <w:t xml:space="preserve"> k odsouhlasení. V případě nesouhlasu </w:t>
      </w:r>
      <w:r>
        <w:t>příkazce</w:t>
      </w:r>
      <w:r w:rsidRPr="00B53ECD">
        <w:t xml:space="preserve"> s novým výkazem bude postupováno obdobně dle tohoto odstavce.</w:t>
      </w:r>
    </w:p>
    <w:p w14:paraId="6927BF7F" w14:textId="2E266AC8" w:rsidR="00AE2F69" w:rsidRPr="00A811F4" w:rsidRDefault="008670EA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Dílčí</w:t>
      </w:r>
      <w:r w:rsidR="006F74D0" w:rsidRPr="007A34D1">
        <w:t xml:space="preserve"> faktury a konečný daňový doklad (faktura) budou mít splatnost </w:t>
      </w:r>
      <w:r w:rsidR="00CF17B6" w:rsidRPr="007A34D1">
        <w:t>30</w:t>
      </w:r>
      <w:r w:rsidRPr="007A34D1">
        <w:t xml:space="preserve"> dní</w:t>
      </w:r>
      <w:r w:rsidR="006F74D0" w:rsidRPr="007A34D1">
        <w:t xml:space="preserve"> ode dne jeho řádného </w:t>
      </w:r>
      <w:r w:rsidR="006F74D0" w:rsidRPr="007A34D1">
        <w:lastRenderedPageBreak/>
        <w:t xml:space="preserve">předání </w:t>
      </w:r>
      <w:r w:rsidR="00766F76" w:rsidRPr="007A34D1">
        <w:t>příkazci</w:t>
      </w:r>
      <w:r w:rsidR="009B4D42" w:rsidRPr="007A34D1">
        <w:t>.</w:t>
      </w:r>
      <w:r w:rsidR="0004625B" w:rsidRPr="00A811F4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>.</w:t>
      </w:r>
      <w:r w:rsidR="00FC2F35">
        <w:t xml:space="preserve"> </w:t>
      </w:r>
      <w:r w:rsidR="006F74D0" w:rsidRPr="007A34D1">
        <w:t xml:space="preserve">smlouvy. </w:t>
      </w:r>
      <w:r w:rsidR="00DB594F" w:rsidRPr="007A34D1">
        <w:t xml:space="preserve">V každé dílčí i v konečné 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Každá dílčí i konečná faktura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0F7086C2" w14:textId="77777777" w:rsidR="00CB3833" w:rsidRDefault="00CB3833" w:rsidP="00CB3833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r>
        <w:t xml:space="preserve">Každá z vystavených faktur bude označena názvem projektu Karlovarské inovační centrum. </w:t>
      </w:r>
    </w:p>
    <w:p w14:paraId="6AEE6FC1" w14:textId="77777777" w:rsidR="00CB3833" w:rsidRDefault="00CB3833" w:rsidP="00CB3833">
      <w:pPr>
        <w:pStyle w:val="Zkladntext"/>
        <w:numPr>
          <w:ilvl w:val="0"/>
          <w:numId w:val="4"/>
        </w:numPr>
        <w:tabs>
          <w:tab w:val="clear" w:pos="624"/>
        </w:tabs>
        <w:spacing w:after="120" w:line="276" w:lineRule="auto"/>
        <w:ind w:right="-45"/>
      </w:pPr>
      <w:r>
        <w:t>Faktury včetně elektronicky podepsaného zjišťovacího protokolu budou zasílány na e-mail: epodatelna@kr-karlovarsky.cz, v předmětu e-mailu bude napsáno „Faktura“. Faktura musí obsahovat náležitosti daňového dokladu dle zákona č. 235/2004 Sb., o dani z přidané hodnoty, ve znění pozdějších předpisů.  Přílohou faktury v realizační fázi bude zjišťovací protokol a výkaz odpracovaných hodin s popisem činnosti, které byly v daném měsíci ze strany příkazníka provedeny. Výkaz hodin bude odsouhlasen oprávněnou osobou příkazce. Pokud předložené činnosti nebudou odsouhlaseny oprávněnou osobou příkazce, je povinností příkazníka doložit a tím prokázat svůj nárok.</w:t>
      </w:r>
    </w:p>
    <w:p w14:paraId="1F6CC28E" w14:textId="0E6C8340" w:rsidR="00473266" w:rsidRPr="007A34D1" w:rsidRDefault="00A57F71" w:rsidP="00D77E6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 xml:space="preserve"> uvedením, v čem spatřuje neprávnost </w:t>
      </w:r>
      <w:r w:rsidR="004476D5">
        <w:br/>
      </w:r>
      <w:r w:rsidRPr="007A34D1">
        <w:t>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A811F4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63730D1F" w:rsidR="003B6A0B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4FCB42F7" w14:textId="77777777" w:rsidR="00722456" w:rsidRPr="007A34D1" w:rsidRDefault="00722456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3D7E5642" w:rsidR="00436021" w:rsidRDefault="00973ADE" w:rsidP="00B01CE0">
      <w:pPr>
        <w:widowControl w:val="0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>Příkazník se zavazuje, že veškeré činnosti</w:t>
      </w:r>
      <w:r w:rsidR="007A4CDC">
        <w:rPr>
          <w:sz w:val="22"/>
          <w:szCs w:val="22"/>
        </w:rPr>
        <w:t xml:space="preserve"> </w:t>
      </w:r>
      <w:r w:rsidR="0014104A">
        <w:rPr>
          <w:sz w:val="22"/>
          <w:szCs w:val="22"/>
        </w:rPr>
        <w:t xml:space="preserve">DP </w:t>
      </w:r>
      <w:r w:rsidRPr="007A34D1">
        <w:rPr>
          <w:sz w:val="22"/>
          <w:szCs w:val="22"/>
        </w:rPr>
        <w:t xml:space="preserve">dle této smlouvy budou zajišťovány autorizovanou osobou či osobami ve smyslu zákona č. </w:t>
      </w:r>
      <w:hyperlink r:id="rId11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14104A">
      <w:pPr>
        <w:pStyle w:val="Textvbloku"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3AD0850F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</w:t>
      </w:r>
      <w:r w:rsidR="00A2116D">
        <w:rPr>
          <w:sz w:val="22"/>
          <w:szCs w:val="22"/>
        </w:rPr>
        <w:t>20</w:t>
      </w:r>
      <w:r w:rsidRPr="00196EFB">
        <w:rPr>
          <w:sz w:val="22"/>
          <w:szCs w:val="22"/>
        </w:rPr>
        <w:t xml:space="preserve">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 xml:space="preserve">dozoru </w:t>
      </w:r>
      <w:r w:rsidR="0014104A">
        <w:rPr>
          <w:sz w:val="22"/>
          <w:szCs w:val="22"/>
        </w:rPr>
        <w:t>projektanta</w:t>
      </w:r>
      <w:r w:rsidRPr="00196EFB">
        <w:rPr>
          <w:sz w:val="22"/>
          <w:szCs w:val="22"/>
        </w:rPr>
        <w:t xml:space="preserve">. Zástupcem může být pouze osoba </w:t>
      </w:r>
      <w:r w:rsidRPr="00196EFB">
        <w:rPr>
          <w:sz w:val="22"/>
          <w:szCs w:val="22"/>
        </w:rPr>
        <w:lastRenderedPageBreak/>
        <w:t>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>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8CDBB83" w14:textId="77777777" w:rsidR="0014104A" w:rsidRDefault="0014104A" w:rsidP="008632EF">
      <w:pPr>
        <w:pStyle w:val="Textvbloku"/>
        <w:tabs>
          <w:tab w:val="left" w:pos="9072"/>
        </w:tabs>
        <w:spacing w:line="276" w:lineRule="auto"/>
        <w:ind w:left="567" w:right="0" w:firstLine="0"/>
      </w:pPr>
      <w:r>
        <w:t>D</w:t>
      </w:r>
      <w:r w:rsidR="0072491B" w:rsidRPr="00C24164">
        <w:t xml:space="preserve">ozor </w:t>
      </w:r>
      <w:r>
        <w:t>projektanta:</w:t>
      </w:r>
    </w:p>
    <w:p w14:paraId="660E8AE1" w14:textId="62190C58" w:rsidR="0072491B" w:rsidRDefault="0014104A" w:rsidP="008632EF">
      <w:pPr>
        <w:pStyle w:val="Textvbloku"/>
        <w:tabs>
          <w:tab w:val="left" w:pos="9072"/>
        </w:tabs>
        <w:spacing w:line="276" w:lineRule="auto"/>
        <w:ind w:left="567" w:right="0" w:firstLine="0"/>
        <w:rPr>
          <w:highlight w:val="yellow"/>
        </w:rPr>
      </w:pPr>
      <w:r w:rsidRPr="0014104A">
        <w:t>v oboru pozemní stavby</w:t>
      </w:r>
      <w:r w:rsidR="001C7313">
        <w:t>:</w:t>
      </w:r>
      <w:r w:rsidR="0072491B" w:rsidRPr="00C24164">
        <w:t xml:space="preserve"> </w:t>
      </w:r>
      <w:r w:rsidR="0072491B" w:rsidRPr="00C24164">
        <w:rPr>
          <w:highlight w:val="yellow"/>
        </w:rPr>
        <w:t>……………………………</w:t>
      </w:r>
      <w:r w:rsidR="0072491B" w:rsidRPr="00C24164">
        <w:t>, číslo autorizace</w:t>
      </w:r>
      <w:r w:rsidR="00F42187">
        <w:t xml:space="preserve"> </w:t>
      </w:r>
      <w:r w:rsidR="0072491B" w:rsidRPr="00C24164">
        <w:rPr>
          <w:highlight w:val="yellow"/>
        </w:rPr>
        <w:t>…</w:t>
      </w:r>
    </w:p>
    <w:p w14:paraId="7E7704CA" w14:textId="75FB7B4F" w:rsidR="0014104A" w:rsidRPr="008632EF" w:rsidRDefault="0014104A" w:rsidP="008632EF">
      <w:pPr>
        <w:pStyle w:val="Textvbloku"/>
        <w:tabs>
          <w:tab w:val="left" w:pos="9072"/>
        </w:tabs>
        <w:spacing w:line="276" w:lineRule="auto"/>
        <w:ind w:left="567" w:right="0" w:firstLine="0"/>
      </w:pPr>
      <w:r w:rsidRPr="008632EF">
        <w:t xml:space="preserve">v oboru </w:t>
      </w:r>
      <w:r w:rsidRPr="008632EF">
        <w:rPr>
          <w:rFonts w:eastAsiaTheme="minorEastAsia"/>
          <w:szCs w:val="20"/>
        </w:rPr>
        <w:t>statika a dynamika staveb</w:t>
      </w:r>
      <w:r w:rsidRPr="008632EF">
        <w:t xml:space="preserve">: </w:t>
      </w:r>
      <w:r w:rsidRPr="008632EF">
        <w:rPr>
          <w:highlight w:val="yellow"/>
        </w:rPr>
        <w:t>……………………………</w:t>
      </w:r>
      <w:r w:rsidRPr="008632EF">
        <w:t>, číslo autorizace</w:t>
      </w:r>
      <w:r w:rsidR="00F42187">
        <w:t xml:space="preserve"> </w:t>
      </w:r>
      <w:r w:rsidRPr="008632EF">
        <w:rPr>
          <w:highlight w:val="yellow"/>
        </w:rPr>
        <w:t>…</w:t>
      </w:r>
    </w:p>
    <w:p w14:paraId="36FFAC53" w14:textId="4BB682C1" w:rsidR="0014104A" w:rsidRPr="008632EF" w:rsidRDefault="0014104A" w:rsidP="008632EF">
      <w:pPr>
        <w:pStyle w:val="Textvbloku"/>
        <w:tabs>
          <w:tab w:val="left" w:pos="9072"/>
        </w:tabs>
        <w:spacing w:line="276" w:lineRule="auto"/>
        <w:ind w:left="567" w:right="0" w:firstLine="0"/>
      </w:pPr>
      <w:r w:rsidRPr="008632EF">
        <w:t xml:space="preserve">v oboru </w:t>
      </w:r>
      <w:r w:rsidRPr="008632EF">
        <w:rPr>
          <w:rFonts w:eastAsiaTheme="minorEastAsia"/>
          <w:szCs w:val="20"/>
        </w:rPr>
        <w:t>technická zařízení budov (TZB)</w:t>
      </w:r>
      <w:r w:rsidRPr="008632EF">
        <w:t xml:space="preserve">: </w:t>
      </w:r>
      <w:r w:rsidRPr="008632EF">
        <w:rPr>
          <w:highlight w:val="yellow"/>
        </w:rPr>
        <w:t>……………………………</w:t>
      </w:r>
      <w:r w:rsidRPr="008632EF">
        <w:t>, číslo autorizace</w:t>
      </w:r>
      <w:r w:rsidR="00F42187">
        <w:t xml:space="preserve"> </w:t>
      </w:r>
      <w:r w:rsidRPr="008632EF">
        <w:rPr>
          <w:highlight w:val="yellow"/>
        </w:rPr>
        <w:t>…</w:t>
      </w:r>
    </w:p>
    <w:p w14:paraId="0982B835" w14:textId="33C30619" w:rsidR="0014104A" w:rsidRPr="008632EF" w:rsidRDefault="0014104A" w:rsidP="008632EF">
      <w:pPr>
        <w:pStyle w:val="Textvbloku"/>
        <w:tabs>
          <w:tab w:val="left" w:pos="9072"/>
        </w:tabs>
        <w:spacing w:line="276" w:lineRule="auto"/>
        <w:ind w:left="567" w:right="0" w:firstLine="0"/>
      </w:pPr>
      <w:r w:rsidRPr="008632EF">
        <w:t xml:space="preserve">v oboru </w:t>
      </w:r>
      <w:r w:rsidRPr="008632EF">
        <w:rPr>
          <w:rFonts w:eastAsiaTheme="minorEastAsia"/>
          <w:szCs w:val="20"/>
        </w:rPr>
        <w:t>elektrické instalace</w:t>
      </w:r>
      <w:r w:rsidRPr="008632EF">
        <w:t xml:space="preserve">: </w:t>
      </w:r>
      <w:r w:rsidRPr="008632EF">
        <w:rPr>
          <w:highlight w:val="yellow"/>
        </w:rPr>
        <w:t>……………………………</w:t>
      </w:r>
      <w:r w:rsidRPr="008632EF">
        <w:t>, číslo autorizace</w:t>
      </w:r>
      <w:r w:rsidR="00F42187">
        <w:t xml:space="preserve"> </w:t>
      </w:r>
      <w:r w:rsidRPr="008632EF">
        <w:rPr>
          <w:highlight w:val="yellow"/>
        </w:rPr>
        <w:t>…</w:t>
      </w:r>
    </w:p>
    <w:p w14:paraId="76E18ABD" w14:textId="41EB5B90" w:rsidR="0014104A" w:rsidRPr="008632EF" w:rsidRDefault="0014104A" w:rsidP="008632EF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8632EF">
        <w:t xml:space="preserve">v oboru </w:t>
      </w:r>
      <w:r w:rsidR="00A13131" w:rsidRPr="00A13131">
        <w:rPr>
          <w:rFonts w:eastAsiaTheme="minorEastAsia"/>
          <w:szCs w:val="20"/>
        </w:rPr>
        <w:t>technologická zařízení staveb</w:t>
      </w:r>
      <w:r w:rsidRPr="008632EF">
        <w:t xml:space="preserve">: </w:t>
      </w:r>
      <w:r w:rsidRPr="008632EF">
        <w:rPr>
          <w:highlight w:val="yellow"/>
        </w:rPr>
        <w:t>……………………………</w:t>
      </w:r>
      <w:r w:rsidRPr="008632EF">
        <w:t>, číslo autorizace</w:t>
      </w:r>
      <w:r w:rsidR="00F42187">
        <w:t xml:space="preserve"> </w:t>
      </w:r>
      <w:r w:rsidRPr="008632EF">
        <w:rPr>
          <w:highlight w:val="yellow"/>
        </w:rPr>
        <w:t>…</w:t>
      </w:r>
    </w:p>
    <w:p w14:paraId="56F2D465" w14:textId="73F3DA61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8632EF">
        <w:t>y</w:t>
      </w:r>
      <w:r w:rsidRPr="00C24164">
        <w:t xml:space="preserve"> uveden</w:t>
      </w:r>
      <w:r w:rsidR="008632EF">
        <w:t>é</w:t>
      </w:r>
      <w:r w:rsidRPr="00C24164">
        <w:t xml:space="preserve"> v předchozím odstavci nenahradí bez souhlasu příkazce. Souhlas příkazce mu bude udělen pouze v případě, že t</w:t>
      </w:r>
      <w:r w:rsidR="00A2116D">
        <w:t>a</w:t>
      </w:r>
      <w:r w:rsidRPr="00C24164">
        <w:t xml:space="preserve">to osoba bude nahrazena </w:t>
      </w:r>
      <w:r w:rsidR="00FE5FCC">
        <w:t xml:space="preserve">osobou </w:t>
      </w:r>
      <w:r w:rsidR="004476D5">
        <w:br/>
      </w:r>
      <w:r w:rsidR="00FE5FCC">
        <w:t xml:space="preserve">s </w:t>
      </w:r>
      <w:r w:rsidRPr="00C24164">
        <w:t xml:space="preserve">autorizací v požadovaném oboru a </w:t>
      </w:r>
      <w:r w:rsidR="00A2116D">
        <w:t xml:space="preserve">v případě osoby dozoru projektanta v oboru pozemní stavby i </w:t>
      </w:r>
      <w:r w:rsidR="00A2116D" w:rsidRPr="00C24164">
        <w:t>zkušenostmi</w:t>
      </w:r>
      <w:r w:rsidRPr="00C24164">
        <w:t xml:space="preserve">, ve smyslu prokázané zkušenosti z nabídky příkazníka v zadávacím řízení veřejné zakázky. </w:t>
      </w:r>
      <w:bookmarkStart w:id="7" w:name="_Hlk191914832"/>
      <w:r w:rsidR="006353D0">
        <w:t xml:space="preserve">Za nahrazení </w:t>
      </w:r>
      <w:r w:rsidR="00A2116D">
        <w:t xml:space="preserve">těchto </w:t>
      </w:r>
      <w:r w:rsidR="006353D0">
        <w:t>osob</w:t>
      </w:r>
      <w:r w:rsidR="008632EF">
        <w:t xml:space="preserve"> </w:t>
      </w:r>
      <w:r w:rsidR="006353D0">
        <w:t>nebude považováno krátkodobé zastupování ve smyslu odst. 4.1</w:t>
      </w:r>
      <w:r w:rsidR="008632EF">
        <w:t>1</w:t>
      </w:r>
      <w:r w:rsidR="006353D0">
        <w:t>. smlouvy.</w:t>
      </w:r>
      <w:bookmarkEnd w:id="7"/>
    </w:p>
    <w:p w14:paraId="3CCB0DCB" w14:textId="6D0DBAEA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Pokud nová osoba </w:t>
      </w:r>
      <w:r w:rsidR="00A13131">
        <w:t xml:space="preserve">v oboru pozemní stavby </w:t>
      </w:r>
      <w:r w:rsidRPr="00C24164">
        <w:t xml:space="preserve">nedosahuje stejné úrovně zkušeností pro hodnocení </w:t>
      </w:r>
      <w:r w:rsidR="004476D5">
        <w:br/>
      </w:r>
      <w:r w:rsidRPr="00C24164">
        <w:t>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Pr="008632EF" w:rsidRDefault="001E5647" w:rsidP="008632EF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8632EF">
        <w:t>Příkazník</w:t>
      </w:r>
      <w:r w:rsidR="0072491B" w:rsidRPr="008632EF">
        <w:t xml:space="preserve"> prohlašuje, že není dodavatelem, kterému nesmí být zadána veřejná zakázka z důvodu mezinárodních sankcí ve smyslu § 48a ZZVZ, a ani jeho poddodavatelem není dodavatel, na</w:t>
      </w:r>
      <w:r w:rsidR="003A7C2D" w:rsidRPr="008632EF">
        <w:t> </w:t>
      </w:r>
      <w:r w:rsidR="0072491B" w:rsidRPr="008632EF">
        <w:t>kterého se vztahují mezinárodní sankce ve smyslu § 48a ZZVZ.</w:t>
      </w:r>
    </w:p>
    <w:p w14:paraId="3C6C9F03" w14:textId="1B9151E7" w:rsidR="00FE5FCC" w:rsidRPr="00872912" w:rsidRDefault="00FE5FCC" w:rsidP="008632EF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872912">
        <w:t xml:space="preserve">Příkazník </w:t>
      </w:r>
      <w:r w:rsidRPr="007A70C6">
        <w:t>je povinen minimálně do 31.12.203</w:t>
      </w:r>
      <w:r w:rsidR="008632EF">
        <w:t>6</w:t>
      </w:r>
      <w:r w:rsidRPr="007A70C6">
        <w:t xml:space="preserve"> poskytovat požadované informace a dokumentaci související s realizací projektu zaměstnancům nebo zmocněncům pověřených orgánů (Ministerstva </w:t>
      </w:r>
      <w:r w:rsidR="00466439">
        <w:t>životního prostředí</w:t>
      </w:r>
      <w:r w:rsidRPr="007A70C6">
        <w:t xml:space="preserve"> ČR, Ministerstva financí ČR, Evropské komise, Evropského účetního dvora, Nejvyššího kontrolního úřadu, příslušného orgánu finanční správy a dalších oprávněných orgánů státní správy) a je povinen vytvořit výše uvedeným osobám podmínky </w:t>
      </w:r>
      <w:r w:rsidR="004476D5">
        <w:br/>
      </w:r>
      <w:r w:rsidRPr="007A70C6">
        <w:t>k provedení kontroly vztahující se k realizaci projektu a poskytnout jim při provádění kontroly součinnost</w:t>
      </w:r>
      <w:r w:rsidRPr="00872912">
        <w:t>.</w:t>
      </w:r>
    </w:p>
    <w:p w14:paraId="2A88FFB0" w14:textId="443E6F79" w:rsidR="00FE5FCC" w:rsidRDefault="00FE5FCC" w:rsidP="008632EF">
      <w:pPr>
        <w:pStyle w:val="Textvbloku"/>
        <w:numPr>
          <w:ilvl w:val="0"/>
          <w:numId w:val="5"/>
        </w:numPr>
        <w:tabs>
          <w:tab w:val="num" w:pos="567"/>
          <w:tab w:val="left" w:pos="9072"/>
        </w:tabs>
        <w:spacing w:after="120" w:line="276" w:lineRule="auto"/>
        <w:ind w:left="567" w:right="0" w:hanging="567"/>
      </w:pPr>
      <w:r w:rsidRPr="00872912">
        <w:t xml:space="preserve">Příkazník je povinen archivovat veškerou dokumentaci související s akcí po dobu </w:t>
      </w:r>
      <w:r>
        <w:t xml:space="preserve">min. </w:t>
      </w:r>
      <w:r w:rsidRPr="00872912">
        <w:t>10 let od</w:t>
      </w:r>
      <w:r>
        <w:t> </w:t>
      </w:r>
      <w:r w:rsidRPr="00872912">
        <w:t>finančního ukončení akce, přičemž se lhůta začíná počítat od 1. roku následujícího po</w:t>
      </w:r>
      <w:r>
        <w:t> ukončení stavebních prací</w:t>
      </w:r>
      <w:r w:rsidRPr="00872912">
        <w:t>. Pokud je v českých právních předpisech stanovena lhůta delší, musí být použita pro úschovu delší lhůta.</w:t>
      </w:r>
    </w:p>
    <w:p w14:paraId="61936F2F" w14:textId="090D5870" w:rsidR="003A7C2D" w:rsidRDefault="003A7C2D" w:rsidP="003A7C2D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624" w:right="-45"/>
        <w:jc w:val="both"/>
        <w:rPr>
          <w:sz w:val="22"/>
          <w:szCs w:val="22"/>
        </w:rPr>
      </w:pPr>
      <w:r w:rsidRPr="003A7C2D">
        <w:rPr>
          <w:sz w:val="22"/>
          <w:szCs w:val="22"/>
        </w:rPr>
        <w:t xml:space="preserve">Pokud je jakýkoli dokument veden v elektronické podobě, </w:t>
      </w:r>
      <w:r>
        <w:rPr>
          <w:sz w:val="22"/>
          <w:szCs w:val="22"/>
        </w:rPr>
        <w:t>příkazník</w:t>
      </w:r>
      <w:r w:rsidRPr="003A7C2D">
        <w:rPr>
          <w:sz w:val="22"/>
          <w:szCs w:val="22"/>
        </w:rPr>
        <w:t xml:space="preserve"> se zavazuje zajistit jeho archivaci v souladu s platnými právními předpisy, které se vztahují na elektronické dokumenty, a to způsobem, který zaručuje přístup k datům po celou dobu archivace, jejich ochranu před</w:t>
      </w:r>
      <w:r>
        <w:rPr>
          <w:sz w:val="22"/>
          <w:szCs w:val="22"/>
        </w:rPr>
        <w:t> </w:t>
      </w:r>
      <w:r w:rsidRPr="003A7C2D">
        <w:rPr>
          <w:sz w:val="22"/>
          <w:szCs w:val="22"/>
        </w:rPr>
        <w:t>neoprávněnými zásahy a zachování integrity dat. Elektronické dokumenty musí být uchovávány v zabezpečené formě, která umožňuje jejich čitelnost a platnost i v budoucnu. Zhotovitel rovněž zajistí, aby byly elektronické dokumenty dostupné pro kontrolu po celou dobu archivace.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lastRenderedPageBreak/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0ECD87C2" w14:textId="2E71AA96" w:rsidR="00FB1A10" w:rsidRPr="00FB1A10" w:rsidRDefault="00E42A6B" w:rsidP="00FB1A1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>průběžně v návaznosti na plnění smlouvy o dílo stavby</w:t>
      </w:r>
      <w:r w:rsidR="00FB1A10">
        <w:t xml:space="preserve"> a průběh kolaudačního řízení</w:t>
      </w:r>
      <w:r w:rsidR="008632EF">
        <w:t xml:space="preserve"> a bude zahájeno účinností této smlouvy</w:t>
      </w:r>
      <w:r w:rsidR="00FC4405" w:rsidRPr="007A34D1">
        <w:t xml:space="preserve">. </w:t>
      </w:r>
      <w:r w:rsidR="00952DDB" w:rsidRPr="007A34D1">
        <w:t xml:space="preserve">Stavební práce budou probíhat v předpokládaném termínu </w:t>
      </w:r>
      <w:r w:rsidR="00D53174" w:rsidRPr="007A34D1">
        <w:t>do</w:t>
      </w:r>
      <w:r w:rsidR="007B2439">
        <w:t xml:space="preserve"> listopadu</w:t>
      </w:r>
      <w:r w:rsidR="00E23716">
        <w:t xml:space="preserve"> </w:t>
      </w:r>
      <w:r w:rsidR="00E51EB7" w:rsidRPr="007A34D1">
        <w:t>202</w:t>
      </w:r>
      <w:r w:rsidR="00466439">
        <w:t>5</w:t>
      </w:r>
      <w:r w:rsidR="00E51EB7" w:rsidRPr="007A34D1">
        <w:t>.</w:t>
      </w:r>
    </w:p>
    <w:p w14:paraId="4498B711" w14:textId="77777777" w:rsidR="00CB3833" w:rsidRDefault="00CB3833" w:rsidP="00CB3833">
      <w:pPr>
        <w:pStyle w:val="Textvbloku"/>
        <w:spacing w:after="120" w:line="276" w:lineRule="auto"/>
        <w:ind w:left="624" w:right="-45" w:firstLine="0"/>
      </w:pPr>
      <w:r w:rsidRPr="00FB1A10">
        <w:t>Dílčí termín:</w:t>
      </w:r>
    </w:p>
    <w:p w14:paraId="31B3EE5A" w14:textId="77777777" w:rsidR="00CB3833" w:rsidRPr="00FB1A10" w:rsidRDefault="00CB3833" w:rsidP="00CB3833">
      <w:pPr>
        <w:pStyle w:val="Textvbloku"/>
        <w:spacing w:after="120" w:line="276" w:lineRule="auto"/>
        <w:ind w:left="624" w:right="-45" w:firstLine="0"/>
        <w:rPr>
          <w:b/>
          <w:bCs/>
          <w:i/>
        </w:rPr>
      </w:pPr>
      <w:r>
        <w:t xml:space="preserve">Přístup do CDE bude zajištěn příkazníkovi </w:t>
      </w:r>
      <w:r w:rsidRPr="00C53BE6">
        <w:t>příkazcem do 2 pracovních dnů od účinnosti této smlouvy.</w:t>
      </w:r>
    </w:p>
    <w:p w14:paraId="0B5C80BC" w14:textId="5468D538" w:rsidR="00741360" w:rsidRPr="00F55F76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5F76">
        <w:rPr>
          <w:sz w:val="22"/>
          <w:szCs w:val="22"/>
        </w:rPr>
        <w:t xml:space="preserve">Výkon </w:t>
      </w:r>
      <w:r w:rsidR="00FE5FCC" w:rsidRPr="00F55F76">
        <w:rPr>
          <w:sz w:val="22"/>
          <w:szCs w:val="22"/>
        </w:rPr>
        <w:t>č</w:t>
      </w:r>
      <w:r w:rsidRPr="00F55F76">
        <w:rPr>
          <w:sz w:val="22"/>
          <w:szCs w:val="22"/>
        </w:rPr>
        <w:t>innosti</w:t>
      </w:r>
      <w:r w:rsidR="00FE5FCC" w:rsidRPr="00F55F76">
        <w:rPr>
          <w:sz w:val="22"/>
          <w:szCs w:val="22"/>
        </w:rPr>
        <w:t xml:space="preserve"> </w:t>
      </w:r>
      <w:r w:rsidR="008632EF" w:rsidRPr="00F55F76">
        <w:rPr>
          <w:sz w:val="22"/>
          <w:szCs w:val="22"/>
        </w:rPr>
        <w:t>DP</w:t>
      </w:r>
      <w:r w:rsidRPr="00F55F76">
        <w:rPr>
          <w:sz w:val="22"/>
          <w:szCs w:val="22"/>
        </w:rPr>
        <w:t xml:space="preserve"> bude ukončen po řádném </w:t>
      </w:r>
      <w:r w:rsidR="00864723" w:rsidRPr="00F55F76">
        <w:rPr>
          <w:sz w:val="22"/>
          <w:szCs w:val="22"/>
        </w:rPr>
        <w:t>dokončení</w:t>
      </w:r>
      <w:r w:rsidRPr="00F55F76">
        <w:rPr>
          <w:sz w:val="22"/>
          <w:szCs w:val="22"/>
        </w:rPr>
        <w:t xml:space="preserve"> stavby</w:t>
      </w:r>
      <w:r w:rsidR="001F68A0" w:rsidRPr="00F55F76">
        <w:rPr>
          <w:sz w:val="22"/>
          <w:szCs w:val="22"/>
        </w:rPr>
        <w:t>,</w:t>
      </w:r>
      <w:r w:rsidRPr="00F55F76">
        <w:rPr>
          <w:sz w:val="22"/>
          <w:szCs w:val="22"/>
        </w:rPr>
        <w:t xml:space="preserve"> odevzdání všech dokladů souvisejících s realizací stavby</w:t>
      </w:r>
      <w:r w:rsidR="001F68A0" w:rsidRPr="00F55F76">
        <w:rPr>
          <w:sz w:val="22"/>
          <w:szCs w:val="22"/>
        </w:rPr>
        <w:t xml:space="preserve"> a odstranění všech vad a nedodělků </w:t>
      </w:r>
      <w:r w:rsidR="000D18BB" w:rsidRPr="00F55F76">
        <w:rPr>
          <w:sz w:val="22"/>
          <w:szCs w:val="22"/>
        </w:rPr>
        <w:t>(p</w:t>
      </w:r>
      <w:r w:rsidR="001F68A0" w:rsidRPr="00F55F76">
        <w:rPr>
          <w:sz w:val="22"/>
          <w:szCs w:val="22"/>
        </w:rPr>
        <w:t xml:space="preserve">ro odstranění pochybností se smluvní strany dohodly, že </w:t>
      </w:r>
      <w:r w:rsidR="00C872D8" w:rsidRPr="00F55F76">
        <w:rPr>
          <w:sz w:val="22"/>
          <w:szCs w:val="22"/>
        </w:rPr>
        <w:t>vady a nedodělky budou považovány za odstraněné dnem podepsání Zápisu o odstranění vad a nedodělků</w:t>
      </w:r>
      <w:r w:rsidR="000D18BB" w:rsidRPr="00F55F76">
        <w:rPr>
          <w:sz w:val="22"/>
          <w:szCs w:val="22"/>
        </w:rPr>
        <w:t>)</w:t>
      </w:r>
      <w:r w:rsidR="008632EF" w:rsidRPr="00F55F76">
        <w:rPr>
          <w:sz w:val="22"/>
          <w:szCs w:val="22"/>
        </w:rPr>
        <w:t xml:space="preserve"> ze strany zhotovitele stavby</w:t>
      </w:r>
      <w:r w:rsidR="008943D5" w:rsidRPr="00F55F76">
        <w:rPr>
          <w:sz w:val="22"/>
          <w:szCs w:val="22"/>
        </w:rPr>
        <w:t xml:space="preserve"> a nabytím právní moci rozhodnutí o kolaudaci stavby</w:t>
      </w:r>
      <w:r w:rsidR="000D18BB" w:rsidRPr="00F55F76">
        <w:rPr>
          <w:sz w:val="22"/>
          <w:szCs w:val="22"/>
        </w:rPr>
        <w:t>.</w:t>
      </w:r>
      <w:r w:rsidRPr="00F55F76">
        <w:rPr>
          <w:sz w:val="22"/>
          <w:szCs w:val="22"/>
        </w:rPr>
        <w:t xml:space="preserve"> </w:t>
      </w:r>
    </w:p>
    <w:p w14:paraId="0B044281" w14:textId="4720E271" w:rsidR="00A0418E" w:rsidRPr="00F55F76" w:rsidRDefault="00A83814" w:rsidP="00B01CE0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5F76">
        <w:rPr>
          <w:sz w:val="22"/>
          <w:szCs w:val="22"/>
        </w:rPr>
        <w:t>Místem plnění stavebních prací je</w:t>
      </w:r>
      <w:r w:rsidR="00E535CF" w:rsidRPr="00F55F76">
        <w:rPr>
          <w:sz w:val="22"/>
          <w:szCs w:val="22"/>
        </w:rPr>
        <w:t xml:space="preserve"> </w:t>
      </w:r>
      <w:r w:rsidR="008632EF" w:rsidRPr="00F55F76">
        <w:rPr>
          <w:sz w:val="22"/>
          <w:szCs w:val="22"/>
        </w:rPr>
        <w:t>místo stavby, která se nachází v areálu Krajského úřadu Karlovarského kraje na pozemkové parcele č. 522/3, 522/4, 522/7, 522/8, 524/2, 525/143, 527/1, 527/106, 527/135, 527/138 a 527/140 v katastrálním území Dvory a na pozemkové parcele č. 448 a 449/2 v katastrálním území Tašovice. Příkazník se bude účastnit plnění v místě stavby, případně v budovách Krajského úřadu Karlovarského kraje</w:t>
      </w:r>
      <w:r w:rsidR="00A13131" w:rsidRPr="00F55F76">
        <w:rPr>
          <w:sz w:val="22"/>
          <w:szCs w:val="22"/>
        </w:rPr>
        <w:t xml:space="preserve"> umístěných v ulici Závodní, 360 06 Karlovy Vary</w:t>
      </w:r>
      <w:r w:rsidR="008632EF" w:rsidRPr="00F55F76">
        <w:rPr>
          <w:sz w:val="22"/>
          <w:szCs w:val="22"/>
        </w:rPr>
        <w:t xml:space="preserve">. </w:t>
      </w:r>
    </w:p>
    <w:p w14:paraId="1DBE08C9" w14:textId="5971462F" w:rsidR="00A13131" w:rsidRPr="00A13131" w:rsidRDefault="00A13131" w:rsidP="00A13131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/>
        <w:jc w:val="both"/>
        <w:rPr>
          <w:sz w:val="22"/>
          <w:szCs w:val="22"/>
        </w:rPr>
      </w:pPr>
      <w:r w:rsidRPr="00F55F76">
        <w:rPr>
          <w:sz w:val="22"/>
          <w:szCs w:val="22"/>
        </w:rPr>
        <w:t>Plnění příkazníka je možné i v rámci vzdáleného přístupu, ale pouze v případě, že vzdálený přístup předem odsouhlasí příkaz</w:t>
      </w:r>
      <w:r w:rsidR="00191158" w:rsidRPr="00F55F76">
        <w:rPr>
          <w:sz w:val="22"/>
          <w:szCs w:val="22"/>
        </w:rPr>
        <w:t>ce</w:t>
      </w:r>
      <w:r w:rsidRPr="00F55F76">
        <w:rPr>
          <w:sz w:val="22"/>
          <w:szCs w:val="22"/>
        </w:rPr>
        <w:t>.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9F7631" w:rsidR="006F74D0" w:rsidRPr="007A34D1" w:rsidRDefault="00B71B25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A1270">
        <w:rPr>
          <w:sz w:val="22"/>
          <w:szCs w:val="22"/>
        </w:rPr>
        <w:t>jestliže bude</w:t>
      </w:r>
      <w:r>
        <w:rPr>
          <w:sz w:val="22"/>
          <w:szCs w:val="22"/>
        </w:rPr>
        <w:t xml:space="preserve"> v insolvenčním rejstříku zveřejněna vyhláška o zahájení insolvenčního řízení ve smyslu § 101 odst. 1 </w:t>
      </w:r>
      <w:r w:rsidRPr="009A1270">
        <w:rPr>
          <w:sz w:val="22"/>
          <w:szCs w:val="22"/>
        </w:rPr>
        <w:t>zákona č. 182/2006 Sb.,</w:t>
      </w:r>
      <w:r w:rsidRPr="009A1270">
        <w:rPr>
          <w:iCs/>
          <w:color w:val="43494D"/>
          <w:kern w:val="2"/>
          <w:sz w:val="22"/>
          <w:szCs w:val="22"/>
        </w:rPr>
        <w:t xml:space="preserve"> </w:t>
      </w:r>
      <w:r w:rsidRPr="009A1270">
        <w:rPr>
          <w:iCs/>
          <w:sz w:val="22"/>
          <w:szCs w:val="22"/>
        </w:rPr>
        <w:t xml:space="preserve">o úpadku a způsobech jeho řešení </w:t>
      </w:r>
      <w:r w:rsidRPr="009A1270">
        <w:rPr>
          <w:sz w:val="22"/>
          <w:szCs w:val="22"/>
        </w:rPr>
        <w:t>(insolvenční zákon), ve znění pozdějších předpisů</w:t>
      </w:r>
      <w:r w:rsidR="006F74D0"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175FEB14" w:rsidR="006F74D0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</w:t>
      </w:r>
      <w:r w:rsidR="00A01D45" w:rsidRPr="007A34D1">
        <w:rPr>
          <w:snapToGrid w:val="0"/>
          <w:sz w:val="22"/>
          <w:szCs w:val="22"/>
        </w:rPr>
        <w:lastRenderedPageBreak/>
        <w:t xml:space="preserve">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</w:t>
      </w:r>
      <w:r w:rsidR="00B71B25">
        <w:rPr>
          <w:snapToGrid w:val="0"/>
          <w:sz w:val="22"/>
          <w:szCs w:val="22"/>
        </w:rPr>
        <w:t xml:space="preserve"> v délce</w:t>
      </w:r>
      <w:r w:rsidRPr="007A34D1">
        <w:rPr>
          <w:snapToGrid w:val="0"/>
          <w:sz w:val="22"/>
          <w:szCs w:val="22"/>
        </w:rPr>
        <w:t xml:space="preserve">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B01CE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226123AA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466439">
        <w:t>1</w:t>
      </w:r>
      <w:r w:rsidRPr="007A34D1">
        <w:t xml:space="preserve"> měsíc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719484F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466439">
        <w:rPr>
          <w:sz w:val="22"/>
          <w:szCs w:val="22"/>
        </w:rPr>
        <w:t>1</w:t>
      </w:r>
      <w:r w:rsidR="00F0251B" w:rsidRPr="007A34D1">
        <w:rPr>
          <w:sz w:val="22"/>
          <w:szCs w:val="22"/>
        </w:rPr>
        <w:t>.</w:t>
      </w:r>
      <w:r w:rsidR="00DD2049" w:rsidRPr="007A34D1">
        <w:rPr>
          <w:sz w:val="22"/>
          <w:szCs w:val="22"/>
        </w:rPr>
        <w:t>000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31E2D303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>4.1</w:t>
      </w:r>
      <w:r w:rsidR="001F314E">
        <w:rPr>
          <w:sz w:val="22"/>
          <w:szCs w:val="22"/>
        </w:rPr>
        <w:t>2</w:t>
      </w:r>
      <w:r w:rsidR="00466439">
        <w:rPr>
          <w:sz w:val="22"/>
          <w:szCs w:val="22"/>
        </w:rPr>
        <w:t xml:space="preserve"> a </w:t>
      </w:r>
      <w:r w:rsidR="000074D6">
        <w:rPr>
          <w:sz w:val="22"/>
          <w:szCs w:val="22"/>
        </w:rPr>
        <w:t>4.1</w:t>
      </w:r>
      <w:r w:rsidR="001F314E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občansk</w:t>
      </w:r>
      <w:r w:rsidR="00B71B25">
        <w:rPr>
          <w:sz w:val="22"/>
          <w:szCs w:val="22"/>
        </w:rPr>
        <w:t>ého</w:t>
      </w:r>
      <w:r w:rsidRPr="007A34D1">
        <w:rPr>
          <w:sz w:val="22"/>
          <w:szCs w:val="22"/>
        </w:rPr>
        <w:t xml:space="preserve"> zákoník</w:t>
      </w:r>
      <w:r w:rsidR="00B71B25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>6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23560565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dohodly, že v případě ukáže-li se prohlášení příkazníka dle čl. </w:t>
      </w:r>
      <w:r w:rsidR="00B71B25">
        <w:rPr>
          <w:sz w:val="22"/>
          <w:szCs w:val="22"/>
        </w:rPr>
        <w:t>I</w:t>
      </w:r>
      <w:r w:rsidRPr="00F53F27">
        <w:rPr>
          <w:sz w:val="22"/>
          <w:szCs w:val="22"/>
        </w:rPr>
        <w:t>V. odst. 4.1</w:t>
      </w:r>
      <w:r w:rsidR="001F314E">
        <w:rPr>
          <w:sz w:val="22"/>
          <w:szCs w:val="22"/>
        </w:rPr>
        <w:t>4</w:t>
      </w:r>
      <w:r w:rsidRPr="00F53F27">
        <w:rPr>
          <w:sz w:val="22"/>
          <w:szCs w:val="22"/>
        </w:rPr>
        <w:t xml:space="preserve"> smlouvy jako nepravdivé, má příkazce ve smyslu ustanovení § 2048 a násl. občansk</w:t>
      </w:r>
      <w:r w:rsidR="00B71B25">
        <w:rPr>
          <w:sz w:val="22"/>
          <w:szCs w:val="22"/>
        </w:rPr>
        <w:t>ého</w:t>
      </w:r>
      <w:r w:rsidRPr="00F53F27">
        <w:rPr>
          <w:sz w:val="22"/>
          <w:szCs w:val="22"/>
        </w:rPr>
        <w:t xml:space="preserve"> zákoník</w:t>
      </w:r>
      <w:r w:rsidR="00B71B25">
        <w:rPr>
          <w:sz w:val="22"/>
          <w:szCs w:val="22"/>
        </w:rPr>
        <w:t>u</w:t>
      </w:r>
      <w:r w:rsidRPr="00F53F27">
        <w:rPr>
          <w:sz w:val="22"/>
          <w:szCs w:val="22"/>
        </w:rPr>
        <w:t xml:space="preserve"> vůči příkazníkovi nárok na smluvní pokutu ve výši 20.000 Kč</w:t>
      </w:r>
      <w:r w:rsidR="00B71B25">
        <w:rPr>
          <w:sz w:val="22"/>
          <w:szCs w:val="22"/>
        </w:rPr>
        <w:t>.</w:t>
      </w:r>
    </w:p>
    <w:p w14:paraId="7D0E0A6E" w14:textId="4DD6F9EE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 xml:space="preserve">Smluvní strany se dále dohodly, že v případě, že kterákoliv ze smluvních stran poruší jakékoliv jiné povinnosti uložené touto smlouvou (mimo porušení povinností uvedených v předchozích </w:t>
      </w:r>
      <w:r w:rsidRPr="00F53F27">
        <w:rPr>
          <w:sz w:val="22"/>
          <w:szCs w:val="22"/>
        </w:rPr>
        <w:lastRenderedPageBreak/>
        <w:t>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>tohoto článku smlouvy), je druhá smluvní strana oprávněna uplatnit ve smyslu ustanovení § 2048 a násl. občansk</w:t>
      </w:r>
      <w:r w:rsidR="00B71B25">
        <w:rPr>
          <w:sz w:val="22"/>
          <w:szCs w:val="22"/>
        </w:rPr>
        <w:t>ého</w:t>
      </w:r>
      <w:r w:rsidRPr="00F53F27">
        <w:rPr>
          <w:sz w:val="22"/>
          <w:szCs w:val="22"/>
        </w:rPr>
        <w:t xml:space="preserve"> zákoník</w:t>
      </w:r>
      <w:r w:rsidR="00B71B25">
        <w:rPr>
          <w:sz w:val="22"/>
          <w:szCs w:val="22"/>
        </w:rPr>
        <w:t>u</w:t>
      </w:r>
      <w:r w:rsidRPr="00F53F27">
        <w:rPr>
          <w:sz w:val="22"/>
          <w:szCs w:val="22"/>
        </w:rPr>
        <w:t xml:space="preserve">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1A5B2C80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1F314E">
        <w:t>5</w:t>
      </w:r>
      <w:r w:rsidR="00ED4E5C" w:rsidRPr="007A34D1">
        <w:t xml:space="preserve"> pracovních dnů od </w:t>
      </w:r>
      <w:r w:rsidR="001F314E">
        <w:t>účinnosti této smlouvy</w:t>
      </w:r>
      <w:r w:rsidR="00ED4E5C" w:rsidRPr="007A34D1">
        <w:t>.</w:t>
      </w:r>
    </w:p>
    <w:p w14:paraId="516F5C4E" w14:textId="404F5B86" w:rsidR="00436021" w:rsidRPr="00A811F4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A811F4">
        <w:t xml:space="preserve">*.doc, </w:t>
      </w:r>
      <w:r w:rsidR="00E47280" w:rsidRPr="00A811F4">
        <w:t>*.</w:t>
      </w:r>
      <w:proofErr w:type="spellStart"/>
      <w:r w:rsidR="00E47280" w:rsidRPr="00A811F4">
        <w:t>doc</w:t>
      </w:r>
      <w:r w:rsidR="000A4299" w:rsidRPr="00A811F4">
        <w:t>x</w:t>
      </w:r>
      <w:proofErr w:type="spellEnd"/>
      <w:r w:rsidR="00E47280" w:rsidRPr="00A811F4">
        <w:t>, *.</w:t>
      </w:r>
      <w:proofErr w:type="spellStart"/>
      <w:r w:rsidR="00E47280" w:rsidRPr="00A811F4">
        <w:t>xls</w:t>
      </w:r>
      <w:proofErr w:type="spellEnd"/>
      <w:r w:rsidR="00E47280" w:rsidRPr="00A811F4">
        <w:t xml:space="preserve">, </w:t>
      </w:r>
      <w:r w:rsidR="000A4299" w:rsidRPr="00A811F4">
        <w:t>*.</w:t>
      </w:r>
      <w:proofErr w:type="spellStart"/>
      <w:r w:rsidR="000A4299" w:rsidRPr="00A811F4">
        <w:t>xlsx</w:t>
      </w:r>
      <w:proofErr w:type="spellEnd"/>
      <w:r w:rsidR="000A4299" w:rsidRPr="00A811F4">
        <w:t xml:space="preserve">, </w:t>
      </w:r>
      <w:r w:rsidR="00E47280" w:rsidRPr="00A811F4">
        <w:t>*.</w:t>
      </w:r>
      <w:proofErr w:type="spellStart"/>
      <w:r w:rsidR="00E47280" w:rsidRPr="00A811F4">
        <w:t>dwg</w:t>
      </w:r>
      <w:proofErr w:type="spellEnd"/>
      <w:r w:rsidR="00DE5BA4" w:rsidRPr="00A811F4">
        <w:t>,</w:t>
      </w:r>
      <w:r w:rsidR="00E47280" w:rsidRPr="00A811F4">
        <w:t xml:space="preserve"> *.</w:t>
      </w:r>
      <w:proofErr w:type="spellStart"/>
      <w:r w:rsidR="00E47280" w:rsidRPr="00A811F4">
        <w:t>pdf</w:t>
      </w:r>
      <w:proofErr w:type="spellEnd"/>
      <w:r w:rsidR="00E47280" w:rsidRPr="00A811F4">
        <w:t>)</w:t>
      </w:r>
      <w:r w:rsidRPr="00A811F4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13F33B0B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  <w:r w:rsidR="001F314E">
        <w:t xml:space="preserve"> a užití díla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1198A1A3" w:rsidR="00B21A35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</w:t>
      </w:r>
      <w:r w:rsidR="00B71B25">
        <w:br/>
      </w:r>
      <w:r w:rsidR="003A399E" w:rsidRPr="007A34D1">
        <w:t xml:space="preserve">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6F97F6CA" w14:textId="4B9789F5" w:rsidR="001F314E" w:rsidRPr="007A34D1" w:rsidRDefault="001F314E" w:rsidP="007D706D">
      <w:pPr>
        <w:pStyle w:val="BodyText21"/>
        <w:widowControl/>
        <w:spacing w:after="120" w:line="276" w:lineRule="auto"/>
        <w:ind w:left="567" w:hanging="567"/>
      </w:pPr>
      <w:r>
        <w:t xml:space="preserve">9.2 </w:t>
      </w:r>
      <w:r>
        <w:tab/>
      </w:r>
      <w:r w:rsidRPr="001F314E">
        <w:t>Pokud bude součástí plnění</w:t>
      </w:r>
      <w:r>
        <w:t xml:space="preserve"> i činnost nebo výstup</w:t>
      </w:r>
      <w:r w:rsidRPr="001F314E">
        <w:t xml:space="preserve">, které naplňuje znaky díla ve smyslu zákona č. 121/2000 Sb., o právu autorském, o právech souvisejících s právem autorským a o změně některých zákonů (autorský zákon), ve znění pozdějších předpisů, poskytuje tímto </w:t>
      </w:r>
      <w:r>
        <w:t xml:space="preserve">příkazník příkazci </w:t>
      </w:r>
      <w:r w:rsidRPr="001F314E">
        <w:t xml:space="preserve">oprávnění (licenci) k výkonu práva dílo užít ke všem způsobům užití všemi způsoby stanovenými zákonem č. 121/2000 Sb., autorský zákon, ve znění pozdějších předpisů </w:t>
      </w:r>
      <w:r w:rsidR="00B71B25">
        <w:t xml:space="preserve">a v občanském zákoníku </w:t>
      </w:r>
      <w:r w:rsidRPr="001F314E">
        <w:t xml:space="preserve">v neomezeném rozsahu. Licence je poskytována jako výhradní, územně neomezená, s právem dalšího postoupení získaného práva, či udělení podlicence třetím osobám. </w:t>
      </w:r>
      <w:r w:rsidR="005F033C">
        <w:t>Příkazce</w:t>
      </w:r>
      <w:r w:rsidRPr="001F314E">
        <w:t xml:space="preserve"> není povinen licenci využít.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lastRenderedPageBreak/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7F76D99D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CB3833" w:rsidRPr="00CB3833">
        <w:rPr>
          <w:sz w:val="22"/>
          <w:szCs w:val="22"/>
        </w:rPr>
        <w:t>10</w:t>
      </w:r>
      <w:r w:rsidR="00AA4E85" w:rsidRPr="00CB3833">
        <w:rPr>
          <w:sz w:val="22"/>
          <w:szCs w:val="22"/>
        </w:rPr>
        <w:t>.000.000</w:t>
      </w:r>
      <w:r w:rsidR="0037775E" w:rsidRPr="00CB3833">
        <w:rPr>
          <w:sz w:val="22"/>
          <w:szCs w:val="22"/>
        </w:rPr>
        <w:t xml:space="preserve"> Kč</w:t>
      </w:r>
      <w:r w:rsidR="00CB3833">
        <w:rPr>
          <w:sz w:val="22"/>
          <w:szCs w:val="22"/>
        </w:rPr>
        <w:t xml:space="preserve"> </w:t>
      </w:r>
      <w:r w:rsidR="00CB3833" w:rsidRPr="009A1270">
        <w:rPr>
          <w:rStyle w:val="FontStyle29"/>
          <w:sz w:val="22"/>
          <w:szCs w:val="22"/>
        </w:rPr>
        <w:t>(slovy: deset milionů korun českých)</w:t>
      </w:r>
      <w:r w:rsidR="0037775E" w:rsidRPr="007A34D1">
        <w:rPr>
          <w:sz w:val="22"/>
          <w:szCs w:val="22"/>
        </w:rPr>
        <w:t>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32558BA1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D97D70">
        <w:rPr>
          <w:sz w:val="22"/>
          <w:szCs w:val="22"/>
        </w:rPr>
        <w:t>příkazci</w:t>
      </w:r>
      <w:r w:rsidR="00A83814" w:rsidRPr="007A34D1">
        <w:rPr>
          <w:sz w:val="22"/>
          <w:szCs w:val="22"/>
        </w:rPr>
        <w:t>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462ED7D4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 xml:space="preserve">ednání mezi smluvními stranami v rámci této smlouvy, s výjimkou uzavírání dodatků k této smlouvě, budou probíhat prostřednictvím níže uvedených oprávněných osob. Kterákoli </w:t>
      </w:r>
      <w:r w:rsidR="00B71B25">
        <w:rPr>
          <w:color w:val="000000"/>
        </w:rPr>
        <w:br/>
      </w:r>
      <w:r w:rsidR="00C952FF" w:rsidRPr="007A34D1">
        <w:rPr>
          <w:color w:val="000000"/>
        </w:rPr>
        <w:t>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>smluvních stran je oprávněna</w:t>
      </w:r>
      <w:r w:rsidR="00690664">
        <w:rPr>
          <w:color w:val="000000"/>
        </w:rPr>
        <w:t xml:space="preserve"> jednostranně</w:t>
      </w:r>
      <w:r w:rsidR="00C952FF" w:rsidRPr="007A34D1">
        <w:rPr>
          <w:color w:val="000000"/>
        </w:rPr>
        <w:t xml:space="preserve">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A811F4" w:rsidRDefault="00C952F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A811F4">
        <w:rPr>
          <w:color w:val="000000"/>
        </w:rPr>
        <w:t>K věcnému jednání oprávněné osoby příkazce:</w:t>
      </w:r>
    </w:p>
    <w:p w14:paraId="6FFA673E" w14:textId="77777777" w:rsidR="00CB3833" w:rsidRDefault="00CB3833" w:rsidP="00CB3833">
      <w:pPr>
        <w:pStyle w:val="BodyText21"/>
        <w:widowControl/>
        <w:spacing w:after="120" w:line="276" w:lineRule="auto"/>
        <w:ind w:left="567"/>
        <w:rPr>
          <w:color w:val="000000"/>
        </w:rPr>
      </w:pPr>
      <w:r w:rsidRPr="00CB3833">
        <w:rPr>
          <w:color w:val="000000"/>
        </w:rPr>
        <w:t xml:space="preserve">Ing. Tomáš Brtek – odbor řízení projektů Krajského úřadu Karlovarského kraje </w:t>
      </w:r>
    </w:p>
    <w:p w14:paraId="4B2FDA83" w14:textId="6B8BDF17" w:rsidR="00F72C71" w:rsidRPr="00A811F4" w:rsidRDefault="009B633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A811F4">
        <w:rPr>
          <w:color w:val="000000"/>
        </w:rPr>
        <w:t>K</w:t>
      </w:r>
      <w:r w:rsidR="00F72C71" w:rsidRPr="00A811F4">
        <w:rPr>
          <w:color w:val="000000"/>
        </w:rPr>
        <w:t> technickému jednání oprávněné osoby příkazce:</w:t>
      </w:r>
    </w:p>
    <w:p w14:paraId="5FF25F5C" w14:textId="77777777" w:rsidR="005F033C" w:rsidRDefault="005F033C" w:rsidP="005F033C">
      <w:pPr>
        <w:pStyle w:val="BodyText21"/>
        <w:spacing w:after="120" w:line="276" w:lineRule="auto"/>
        <w:ind w:firstLine="567"/>
        <w:rPr>
          <w:color w:val="000000"/>
        </w:rPr>
      </w:pPr>
      <w:r w:rsidRPr="005F033C">
        <w:rPr>
          <w:color w:val="000000"/>
        </w:rPr>
        <w:t>-</w:t>
      </w:r>
      <w:r w:rsidRPr="005F033C">
        <w:rPr>
          <w:color w:val="000000"/>
        </w:rPr>
        <w:tab/>
        <w:t>Ing. Pavla Paprskářová – odbor řízení projektů Krajského úřadu Karlovarského kraje</w:t>
      </w:r>
    </w:p>
    <w:p w14:paraId="4997A689" w14:textId="54D9489C" w:rsidR="005F033C" w:rsidRDefault="005F033C" w:rsidP="005F033C">
      <w:pPr>
        <w:pStyle w:val="BodyText21"/>
        <w:spacing w:after="120" w:line="276" w:lineRule="auto"/>
        <w:ind w:firstLine="567"/>
        <w:rPr>
          <w:color w:val="000000"/>
        </w:rPr>
      </w:pPr>
      <w:r>
        <w:rPr>
          <w:color w:val="000000"/>
        </w:rPr>
        <w:t>-</w:t>
      </w:r>
      <w:r w:rsidRPr="005F033C">
        <w:rPr>
          <w:color w:val="000000"/>
        </w:rPr>
        <w:tab/>
        <w:t>Marek Faust – odbor řízení projektů Krajského úřadu Karlovarského kraje</w:t>
      </w:r>
    </w:p>
    <w:p w14:paraId="2EC36BBA" w14:textId="1A089D5B" w:rsidR="00CB3833" w:rsidRDefault="00CB3833" w:rsidP="005F033C">
      <w:pPr>
        <w:pStyle w:val="BodyText21"/>
        <w:spacing w:after="120" w:line="276" w:lineRule="auto"/>
        <w:ind w:firstLine="567"/>
        <w:rPr>
          <w:color w:val="000000"/>
        </w:rPr>
      </w:pPr>
      <w:r>
        <w:rPr>
          <w:color w:val="000000"/>
        </w:rPr>
        <w:t>-</w:t>
      </w:r>
      <w:r w:rsidRPr="005F033C">
        <w:rPr>
          <w:color w:val="000000"/>
        </w:rPr>
        <w:tab/>
      </w:r>
      <w:r>
        <w:rPr>
          <w:color w:val="000000"/>
        </w:rPr>
        <w:t>Jiří Štěpán</w:t>
      </w:r>
      <w:r w:rsidRPr="005F033C">
        <w:rPr>
          <w:color w:val="000000"/>
        </w:rPr>
        <w:t xml:space="preserve"> – odbor řízení projektů Krajského úřadu Karlovarského kraje</w:t>
      </w:r>
      <w:bookmarkStart w:id="8" w:name="_GoBack"/>
      <w:bookmarkEnd w:id="8"/>
    </w:p>
    <w:p w14:paraId="789D12E4" w14:textId="0F83AD2F" w:rsidR="009B633F" w:rsidRPr="007A34D1" w:rsidRDefault="00C952FF" w:rsidP="005F033C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D8A7E27" w14:textId="13F8732A" w:rsidR="009B633F" w:rsidRPr="007A34D1" w:rsidRDefault="001F230F" w:rsidP="007F04C7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lastRenderedPageBreak/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8CE47C9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Smluvní strany se dohodly, že ve smyslu ustanovení § 630 odst. 1 občansk</w:t>
      </w:r>
      <w:r w:rsidR="00690664">
        <w:rPr>
          <w:snapToGrid w:val="0"/>
        </w:rPr>
        <w:t>ého</w:t>
      </w:r>
      <w:r w:rsidRPr="007A34D1">
        <w:rPr>
          <w:snapToGrid w:val="0"/>
        </w:rPr>
        <w:t xml:space="preserve"> zákoník</w:t>
      </w:r>
      <w:r w:rsidR="00690664">
        <w:rPr>
          <w:snapToGrid w:val="0"/>
        </w:rPr>
        <w:t xml:space="preserve">u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9" w:name="_Toc430678299"/>
      <w:bookmarkStart w:id="10" w:name="_Toc430678804"/>
      <w:bookmarkStart w:id="11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9"/>
    <w:bookmarkEnd w:id="10"/>
    <w:bookmarkEnd w:id="11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1C53900A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Tato smlouva nabývá platnosti podpisem smluvních stran a účinnosti dnem uveřejnění </w:t>
      </w:r>
      <w:r w:rsidR="00690664">
        <w:rPr>
          <w:snapToGrid w:val="0"/>
        </w:rPr>
        <w:br/>
      </w:r>
      <w:r w:rsidRPr="001D732C">
        <w:rPr>
          <w:snapToGrid w:val="0"/>
        </w:rPr>
        <w:t xml:space="preserve">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4CC99730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</w:t>
      </w:r>
      <w:r w:rsidR="00690664">
        <w:rPr>
          <w:snapToGrid w:val="0"/>
        </w:rPr>
        <w:br/>
      </w:r>
      <w:r w:rsidRPr="001D732C">
        <w:rPr>
          <w:snapToGrid w:val="0"/>
        </w:rPr>
        <w:t>což stvrzují svými podpisy.</w:t>
      </w:r>
    </w:p>
    <w:p w14:paraId="7C01A109" w14:textId="77777777" w:rsidR="00AF54F2" w:rsidRDefault="00AF54F2" w:rsidP="00AF54F2">
      <w:pPr>
        <w:pStyle w:val="Nadpis4"/>
        <w:spacing w:after="120" w:line="276" w:lineRule="auto"/>
        <w:ind w:left="720"/>
        <w:jc w:val="both"/>
        <w:rPr>
          <w:snapToGrid w:val="0"/>
        </w:rPr>
      </w:pP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590681">
      <w:headerReference w:type="default" r:id="rId12"/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5BC8" w14:textId="77777777" w:rsidR="00CF600A" w:rsidRDefault="00CF600A">
      <w:r>
        <w:separator/>
      </w:r>
    </w:p>
  </w:endnote>
  <w:endnote w:type="continuationSeparator" w:id="0">
    <w:p w14:paraId="21197CC7" w14:textId="77777777" w:rsidR="00CF600A" w:rsidRDefault="00CF600A">
      <w:r>
        <w:continuationSeparator/>
      </w:r>
    </w:p>
  </w:endnote>
  <w:endnote w:type="continuationNotice" w:id="1">
    <w:p w14:paraId="1B815D63" w14:textId="77777777" w:rsidR="00CF600A" w:rsidRDefault="00CF6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ans serif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CF600A"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CF600A"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1DF65" w14:textId="77777777" w:rsidR="00CF600A" w:rsidRDefault="00CF600A">
      <w:r>
        <w:separator/>
      </w:r>
    </w:p>
  </w:footnote>
  <w:footnote w:type="continuationSeparator" w:id="0">
    <w:p w14:paraId="7AAEE6A1" w14:textId="77777777" w:rsidR="00CF600A" w:rsidRDefault="00CF600A">
      <w:r>
        <w:continuationSeparator/>
      </w:r>
    </w:p>
  </w:footnote>
  <w:footnote w:type="continuationNotice" w:id="1">
    <w:p w14:paraId="06035F62" w14:textId="77777777" w:rsidR="00CF600A" w:rsidRDefault="00CF6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F901" w14:textId="2055D6ED" w:rsidR="00590681" w:rsidRDefault="00590681">
    <w:pPr>
      <w:pStyle w:val="Zhlav"/>
    </w:pPr>
    <w:r>
      <w:rPr>
        <w:noProof/>
      </w:rPr>
      <w:drawing>
        <wp:inline distT="0" distB="0" distL="0" distR="0" wp14:anchorId="18231456" wp14:editId="14CFD4FD">
          <wp:extent cx="5759450" cy="46228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8077"/>
        </w:tabs>
        <w:ind w:left="8077" w:hanging="705"/>
      </w:pPr>
      <w:rPr>
        <w:rFonts w:hint="default"/>
      </w:rPr>
    </w:lvl>
  </w:abstractNum>
  <w:abstractNum w:abstractNumId="3" w15:restartNumberingAfterBreak="0">
    <w:nsid w:val="139C042A"/>
    <w:multiLevelType w:val="hybridMultilevel"/>
    <w:tmpl w:val="D9648722"/>
    <w:lvl w:ilvl="0" w:tplc="04050017">
      <w:start w:val="1"/>
      <w:numFmt w:val="lowerLetter"/>
      <w:lvlText w:val="%1)"/>
      <w:lvlJc w:val="left"/>
      <w:pPr>
        <w:tabs>
          <w:tab w:val="num" w:pos="1248"/>
        </w:tabs>
        <w:ind w:left="1248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  <w:rPr>
        <w:rFonts w:cs="Times New Roman"/>
      </w:rPr>
    </w:lvl>
  </w:abstractNum>
  <w:abstractNum w:abstractNumId="4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3743"/>
        </w:tabs>
        <w:ind w:left="3743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CD7232"/>
    <w:multiLevelType w:val="multilevel"/>
    <w:tmpl w:val="50E84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44279B2"/>
    <w:multiLevelType w:val="multilevel"/>
    <w:tmpl w:val="6E3C7C04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4"/>
  </w:num>
  <w:num w:numId="4">
    <w:abstractNumId w:val="20"/>
  </w:num>
  <w:num w:numId="5">
    <w:abstractNumId w:val="16"/>
  </w:num>
  <w:num w:numId="6">
    <w:abstractNumId w:val="23"/>
  </w:num>
  <w:num w:numId="7">
    <w:abstractNumId w:val="27"/>
  </w:num>
  <w:num w:numId="8">
    <w:abstractNumId w:val="15"/>
  </w:num>
  <w:num w:numId="9">
    <w:abstractNumId w:val="25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9"/>
  </w:num>
  <w:num w:numId="16">
    <w:abstractNumId w:val="6"/>
  </w:num>
  <w:num w:numId="17">
    <w:abstractNumId w:val="29"/>
  </w:num>
  <w:num w:numId="18">
    <w:abstractNumId w:val="17"/>
  </w:num>
  <w:num w:numId="19">
    <w:abstractNumId w:val="5"/>
  </w:num>
  <w:num w:numId="20">
    <w:abstractNumId w:val="11"/>
  </w:num>
  <w:num w:numId="21">
    <w:abstractNumId w:val="18"/>
  </w:num>
  <w:num w:numId="22">
    <w:abstractNumId w:val="0"/>
  </w:num>
  <w:num w:numId="23">
    <w:abstractNumId w:val="9"/>
  </w:num>
  <w:num w:numId="24">
    <w:abstractNumId w:val="8"/>
  </w:num>
  <w:num w:numId="25">
    <w:abstractNumId w:val="26"/>
  </w:num>
  <w:num w:numId="26">
    <w:abstractNumId w:val="13"/>
  </w:num>
  <w:num w:numId="27">
    <w:abstractNumId w:val="2"/>
  </w:num>
  <w:num w:numId="28">
    <w:abstractNumId w:val="3"/>
  </w:num>
  <w:num w:numId="29">
    <w:abstractNumId w:val="21"/>
  </w:num>
  <w:num w:numId="30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104A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1158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230F"/>
    <w:rsid w:val="001F314E"/>
    <w:rsid w:val="001F68A0"/>
    <w:rsid w:val="001F73A7"/>
    <w:rsid w:val="00200104"/>
    <w:rsid w:val="00201A4D"/>
    <w:rsid w:val="00201F11"/>
    <w:rsid w:val="002043EB"/>
    <w:rsid w:val="002044D3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60DE7"/>
    <w:rsid w:val="00363F43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476D5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08F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63D7B"/>
    <w:rsid w:val="00567361"/>
    <w:rsid w:val="005704EE"/>
    <w:rsid w:val="00573865"/>
    <w:rsid w:val="00575976"/>
    <w:rsid w:val="0058025C"/>
    <w:rsid w:val="005814CE"/>
    <w:rsid w:val="005836A4"/>
    <w:rsid w:val="00590681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0FF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033C"/>
    <w:rsid w:val="005F0EC0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0664"/>
    <w:rsid w:val="00695604"/>
    <w:rsid w:val="00695BAD"/>
    <w:rsid w:val="006A1010"/>
    <w:rsid w:val="006A2554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5B1A"/>
    <w:rsid w:val="00707B1E"/>
    <w:rsid w:val="00711337"/>
    <w:rsid w:val="00715C27"/>
    <w:rsid w:val="007163C7"/>
    <w:rsid w:val="00717037"/>
    <w:rsid w:val="00722456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2378"/>
    <w:rsid w:val="007B2439"/>
    <w:rsid w:val="007B4E61"/>
    <w:rsid w:val="007B512A"/>
    <w:rsid w:val="007B5154"/>
    <w:rsid w:val="007B6760"/>
    <w:rsid w:val="007B68BD"/>
    <w:rsid w:val="007C40C8"/>
    <w:rsid w:val="007C445B"/>
    <w:rsid w:val="007C7034"/>
    <w:rsid w:val="007D0DC2"/>
    <w:rsid w:val="007D0FAD"/>
    <w:rsid w:val="007D3399"/>
    <w:rsid w:val="007D706D"/>
    <w:rsid w:val="007E2F5B"/>
    <w:rsid w:val="007E3C97"/>
    <w:rsid w:val="007F0224"/>
    <w:rsid w:val="007F04C7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32EF"/>
    <w:rsid w:val="00864723"/>
    <w:rsid w:val="0086573C"/>
    <w:rsid w:val="008670EA"/>
    <w:rsid w:val="00867248"/>
    <w:rsid w:val="0087290C"/>
    <w:rsid w:val="0087495B"/>
    <w:rsid w:val="00875B25"/>
    <w:rsid w:val="00877077"/>
    <w:rsid w:val="00880E77"/>
    <w:rsid w:val="008835C7"/>
    <w:rsid w:val="00883901"/>
    <w:rsid w:val="0088525A"/>
    <w:rsid w:val="008877A2"/>
    <w:rsid w:val="008901C3"/>
    <w:rsid w:val="008930D5"/>
    <w:rsid w:val="008943D5"/>
    <w:rsid w:val="008A00CB"/>
    <w:rsid w:val="008A2729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39EA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131"/>
    <w:rsid w:val="00A13274"/>
    <w:rsid w:val="00A14C55"/>
    <w:rsid w:val="00A2116D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064"/>
    <w:rsid w:val="00A57F71"/>
    <w:rsid w:val="00A664E9"/>
    <w:rsid w:val="00A67F26"/>
    <w:rsid w:val="00A74522"/>
    <w:rsid w:val="00A747D9"/>
    <w:rsid w:val="00A811F4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6FD6"/>
    <w:rsid w:val="00AB78DF"/>
    <w:rsid w:val="00AC1E3C"/>
    <w:rsid w:val="00AC3250"/>
    <w:rsid w:val="00AC3BB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88E"/>
    <w:rsid w:val="00AF54F2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449A"/>
    <w:rsid w:val="00B41546"/>
    <w:rsid w:val="00B45FE4"/>
    <w:rsid w:val="00B46B05"/>
    <w:rsid w:val="00B50E01"/>
    <w:rsid w:val="00B51143"/>
    <w:rsid w:val="00B51264"/>
    <w:rsid w:val="00B53ECD"/>
    <w:rsid w:val="00B54EF1"/>
    <w:rsid w:val="00B56798"/>
    <w:rsid w:val="00B5759B"/>
    <w:rsid w:val="00B63010"/>
    <w:rsid w:val="00B6378F"/>
    <w:rsid w:val="00B64064"/>
    <w:rsid w:val="00B64452"/>
    <w:rsid w:val="00B671ED"/>
    <w:rsid w:val="00B67CCE"/>
    <w:rsid w:val="00B70656"/>
    <w:rsid w:val="00B713D2"/>
    <w:rsid w:val="00B71B25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67FF"/>
    <w:rsid w:val="00CB2359"/>
    <w:rsid w:val="00CB3833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00A"/>
    <w:rsid w:val="00CF63EA"/>
    <w:rsid w:val="00CF6D4C"/>
    <w:rsid w:val="00D00347"/>
    <w:rsid w:val="00D029D3"/>
    <w:rsid w:val="00D033F6"/>
    <w:rsid w:val="00D03ADA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336F"/>
    <w:rsid w:val="00D37042"/>
    <w:rsid w:val="00D41D8A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D70"/>
    <w:rsid w:val="00D97EFA"/>
    <w:rsid w:val="00DA0776"/>
    <w:rsid w:val="00DA08DA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0B4"/>
    <w:rsid w:val="00E24916"/>
    <w:rsid w:val="00E27836"/>
    <w:rsid w:val="00E27FDC"/>
    <w:rsid w:val="00E30BA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3629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3CD6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62A"/>
    <w:rsid w:val="00EE2D4F"/>
    <w:rsid w:val="00EE5950"/>
    <w:rsid w:val="00EE6E85"/>
    <w:rsid w:val="00EF4115"/>
    <w:rsid w:val="00EF498C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2187"/>
    <w:rsid w:val="00F43536"/>
    <w:rsid w:val="00F45DCD"/>
    <w:rsid w:val="00F51A9E"/>
    <w:rsid w:val="00F53F27"/>
    <w:rsid w:val="00F544B7"/>
    <w:rsid w:val="00F54F26"/>
    <w:rsid w:val="00F55F7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7611"/>
    <w:rsid w:val="00FA0212"/>
    <w:rsid w:val="00FA7568"/>
    <w:rsid w:val="00FB148A"/>
    <w:rsid w:val="00FB1A10"/>
    <w:rsid w:val="00FB2DD8"/>
    <w:rsid w:val="00FB36B3"/>
    <w:rsid w:val="00FB45FE"/>
    <w:rsid w:val="00FB605C"/>
    <w:rsid w:val="00FB610D"/>
    <w:rsid w:val="00FB74F0"/>
    <w:rsid w:val="00FC0BF5"/>
    <w:rsid w:val="00FC1F1F"/>
    <w:rsid w:val="00FC2F35"/>
    <w:rsid w:val="00FC4405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qFormat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9A9FC-A8E8-4C36-988C-DBAD5357E810}">
  <ds:schemaRefs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69ce2b15-0efb-4f62-aca0-3c5cc41f3d5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B8AF2-8C6D-477E-89D5-E2B2C2D8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5163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4</cp:revision>
  <cp:lastPrinted>2018-12-03T13:16:00Z</cp:lastPrinted>
  <dcterms:created xsi:type="dcterms:W3CDTF">2025-10-29T12:43:00Z</dcterms:created>
  <dcterms:modified xsi:type="dcterms:W3CDTF">2025-10-29T12:54:00Z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