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6B65445"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 xml:space="preserve">MUDr. Jiří Štefan, MBA, předseda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 xml:space="preserve">Ing. Jiří Tvrdík,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 xml:space="preserve">člen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5D9527FC"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444AA8">
        <w:rPr>
          <w:rFonts w:asciiTheme="minorHAnsi" w:hAnsiTheme="minorHAnsi" w:cstheme="minorHAnsi"/>
          <w:b/>
          <w:sz w:val="22"/>
          <w:szCs w:val="22"/>
          <w:lang w:val="cs-CZ"/>
        </w:rPr>
        <w:t>0</w:t>
      </w:r>
      <w:r w:rsidR="00F05E5C">
        <w:rPr>
          <w:rFonts w:asciiTheme="minorHAnsi" w:hAnsiTheme="minorHAnsi" w:cstheme="minorHAnsi"/>
          <w:b/>
          <w:sz w:val="22"/>
          <w:szCs w:val="22"/>
          <w:lang w:val="cs-CZ"/>
        </w:rPr>
        <w:t>2</w:t>
      </w:r>
      <w:r w:rsidR="00026BBF" w:rsidRPr="00444AA8">
        <w:rPr>
          <w:rFonts w:asciiTheme="minorHAnsi" w:hAnsiTheme="minorHAnsi" w:cstheme="minorHAnsi"/>
          <w:b/>
          <w:sz w:val="22"/>
          <w:szCs w:val="22"/>
          <w:lang w:val="cs-CZ"/>
        </w:rPr>
        <w:t>/</w:t>
      </w:r>
      <w:r w:rsidR="00444AA8" w:rsidRPr="00444AA8">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DNS – Dodávka léčivých přípravků s obsahem HEPARINU</w:t>
      </w:r>
      <w:r w:rsidR="00C41389">
        <w:rPr>
          <w:rFonts w:asciiTheme="minorHAnsi" w:hAnsiTheme="minorHAnsi" w:cstheme="minorHAnsi"/>
          <w:b/>
          <w:bCs/>
          <w:sz w:val="22"/>
          <w:szCs w:val="22"/>
          <w:lang w:val="cs-CZ"/>
        </w:rPr>
        <w:t xml:space="preserve"> (02)</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000000" w:rsidP="00ED38F3">
            <w:pPr>
              <w:pStyle w:val="Zkladntext"/>
              <w:widowControl/>
              <w:jc w:val="center"/>
              <w:rPr>
                <w:rFonts w:asciiTheme="minorHAnsi" w:hAnsiTheme="minorHAnsi" w:cstheme="minorHAnsi"/>
                <w:sz w:val="20"/>
                <w:szCs w:val="20"/>
              </w:rPr>
            </w:pPr>
            <w:hyperlink r:id="rId8" w:tgtFrame="_blank" w:history="1">
              <w:r w:rsidR="00443D81" w:rsidRPr="00443D81">
                <w:rPr>
                  <w:rStyle w:val="Hypertextovodkaz"/>
                  <w:rFonts w:asciiTheme="minorHAnsi" w:hAnsiTheme="minorHAnsi" w:cstheme="minorHAnsi"/>
                  <w:sz w:val="20"/>
                  <w:szCs w:val="20"/>
                </w:rPr>
                <w:t>iva.tomisova@kkn.cz</w:t>
              </w:r>
            </w:hyperlink>
          </w:p>
        </w:tc>
      </w:tr>
    </w:tbl>
    <w:p w14:paraId="7AEE4381" w14:textId="77777777" w:rsidR="00664B65" w:rsidRPr="001159EC" w:rsidRDefault="00664B65" w:rsidP="00664B65">
      <w:pPr>
        <w:pStyle w:val="Nadpis1"/>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3199B166" w14:textId="3E916BE0" w:rsidR="00664B65" w:rsidRDefault="00664B65" w:rsidP="00CD652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w:t>
      </w:r>
      <w:r>
        <w:rPr>
          <w:rFonts w:asciiTheme="minorHAnsi" w:hAnsiTheme="minorHAnsi" w:cstheme="minorHAnsi"/>
          <w:noProof w:val="0"/>
          <w:lang w:val="cs-CZ"/>
        </w:rPr>
        <w:t>vá</w:t>
      </w:r>
      <w:r w:rsidRPr="001159EC">
        <w:rPr>
          <w:rFonts w:asciiTheme="minorHAnsi" w:hAnsiTheme="minorHAnsi" w:cstheme="minorHAnsi"/>
          <w:noProof w:val="0"/>
          <w:lang w:val="cs-CZ"/>
        </w:rPr>
        <w:t xml:space="preserve"> 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výhradně</w:t>
      </w:r>
      <w:r w:rsidR="00CD6521">
        <w:rPr>
          <w:rFonts w:asciiTheme="minorHAnsi" w:hAnsiTheme="minorHAnsi" w:cstheme="minorHAnsi"/>
          <w:noProof w:val="0"/>
          <w:lang w:val="cs-CZ"/>
        </w:rPr>
        <w:t xml:space="preserve"> elektronicky v systému MEDIOX. </w:t>
      </w:r>
      <w:r w:rsidRPr="001159EC">
        <w:rPr>
          <w:rFonts w:asciiTheme="minorHAnsi" w:hAnsiTheme="minorHAnsi" w:cstheme="minorHAnsi"/>
          <w:noProof w:val="0"/>
          <w:lang w:val="cs-CZ"/>
        </w:rPr>
        <w:t xml:space="preserve">Prodávající je povinen zajistit přijímání objednávky </w:t>
      </w:r>
      <w:r w:rsidR="00892460">
        <w:rPr>
          <w:rFonts w:asciiTheme="minorHAnsi" w:hAnsiTheme="minorHAnsi" w:cstheme="minorHAnsi"/>
          <w:noProof w:val="0"/>
          <w:lang w:val="cs-CZ"/>
        </w:rPr>
        <w:t>tímto způsobem</w:t>
      </w:r>
      <w:r w:rsidRPr="001159EC">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1C53DC3E" w14:textId="41ECEBF0" w:rsidR="00577DDE" w:rsidRPr="00577DDE" w:rsidRDefault="0055161F" w:rsidP="0014252B">
      <w:pPr>
        <w:pStyle w:val="Odstavecseseznamem"/>
        <w:numPr>
          <w:ilvl w:val="0"/>
          <w:numId w:val="18"/>
        </w:numPr>
        <w:spacing w:after="240"/>
        <w:jc w:val="both"/>
        <w:rPr>
          <w:rFonts w:ascii="Calibri" w:hAnsi="Calibri" w:cs="Calibri"/>
          <w:noProof w:val="0"/>
          <w:sz w:val="22"/>
          <w:szCs w:val="22"/>
          <w:lang w:val="cs-CZ" w:eastAsia="en-US"/>
        </w:rPr>
      </w:pPr>
      <w:r w:rsidRPr="00322E0F">
        <w:rPr>
          <w:rFonts w:ascii="Calibri" w:hAnsi="Calibri" w:cs="Calibri"/>
          <w:noProof w:val="0"/>
          <w:sz w:val="22"/>
          <w:szCs w:val="22"/>
          <w:lang w:val="cs-CZ" w:eastAsia="en-US"/>
        </w:rPr>
        <w:t>V případě odeslání objednávky Kupujícího v pracovní dny se Prodávající zavazuje obratem, nejpozději však do 2 hodin v pracovní době</w:t>
      </w:r>
      <w:r w:rsidR="00DB2640" w:rsidRPr="00322E0F">
        <w:rPr>
          <w:rFonts w:ascii="Calibri" w:hAnsi="Calibri" w:cs="Calibri"/>
          <w:noProof w:val="0"/>
          <w:sz w:val="22"/>
          <w:szCs w:val="22"/>
          <w:lang w:val="cs-CZ" w:eastAsia="en-US"/>
        </w:rPr>
        <w:t xml:space="preserve">, </w:t>
      </w:r>
      <w:r w:rsidR="00322E0F" w:rsidRPr="00322E0F">
        <w:rPr>
          <w:rFonts w:ascii="Calibri" w:hAnsi="Calibri" w:cs="Calibri"/>
          <w:noProof w:val="0"/>
          <w:sz w:val="22"/>
          <w:szCs w:val="22"/>
          <w:lang w:val="cs-CZ" w:eastAsia="en-US"/>
        </w:rPr>
        <w:t xml:space="preserve">potvrdit objednávku Kupujícího, </w:t>
      </w:r>
      <w:r w:rsidR="00DB2640" w:rsidRPr="00322E0F">
        <w:rPr>
          <w:rFonts w:ascii="Calibri" w:hAnsi="Calibri" w:cs="Calibri"/>
          <w:noProof w:val="0"/>
          <w:sz w:val="22"/>
          <w:szCs w:val="22"/>
          <w:lang w:val="cs-CZ" w:eastAsia="en-US"/>
        </w:rPr>
        <w:t>a to výhradně v elektronickém syst</w:t>
      </w:r>
      <w:r w:rsidR="006E0796" w:rsidRPr="00322E0F">
        <w:rPr>
          <w:rFonts w:ascii="Calibri" w:hAnsi="Calibri" w:cs="Calibri"/>
          <w:noProof w:val="0"/>
          <w:sz w:val="22"/>
          <w:szCs w:val="22"/>
          <w:lang w:val="cs-CZ" w:eastAsia="en-US"/>
        </w:rPr>
        <w:t>ému MEDIOX.</w:t>
      </w:r>
      <w:r w:rsidR="00322E0F">
        <w:rPr>
          <w:rFonts w:ascii="Calibri" w:hAnsi="Calibri" w:cs="Calibri"/>
          <w:noProof w:val="0"/>
          <w:sz w:val="22"/>
          <w:szCs w:val="22"/>
          <w:lang w:val="cs-CZ" w:eastAsia="en-US"/>
        </w:rPr>
        <w:t xml:space="preserve"> </w:t>
      </w:r>
      <w:r w:rsidRPr="00322E0F">
        <w:rPr>
          <w:rFonts w:ascii="Calibri" w:hAnsi="Calibri" w:cs="Calibri"/>
          <w:noProof w:val="0"/>
          <w:sz w:val="22"/>
          <w:szCs w:val="22"/>
          <w:lang w:val="cs-CZ" w:eastAsia="en-US"/>
        </w:rPr>
        <w:t xml:space="preserve">Prodávající tímto poskytuje Kupujícímu součinnost pro splnění povinností uvedených v zákoně č. 340/2015 Sb., o registru smluv v platném znění. </w:t>
      </w:r>
      <w:r w:rsidRPr="00577DDE">
        <w:rPr>
          <w:rFonts w:ascii="Calibri" w:hAnsi="Calibri" w:cs="Calibri"/>
          <w:noProof w:val="0"/>
          <w:sz w:val="22"/>
          <w:szCs w:val="22"/>
          <w:lang w:val="cs-CZ" w:eastAsia="en-US"/>
        </w:rPr>
        <w:t xml:space="preserve">V případě odeslání objednávky Kupujícím v pracovní době Prodávajícího ve výše uvedený čas dále platí, že pokud Prodávající nezašle do 2 hodin od obdržení objednávky tzv. defektní list, ze kterého vyplývá, </w:t>
      </w:r>
      <w:r w:rsidR="00577DDE" w:rsidRPr="00577DDE">
        <w:rPr>
          <w:rFonts w:ascii="Calibri" w:hAnsi="Calibri" w:cs="Calibri"/>
          <w:noProof w:val="0"/>
          <w:sz w:val="22"/>
          <w:szCs w:val="22"/>
          <w:lang w:val="cs-CZ" w:eastAsia="en-US"/>
        </w:rPr>
        <w:t xml:space="preserve">že </w:t>
      </w:r>
      <w:r w:rsidRPr="00577DDE">
        <w:rPr>
          <w:rFonts w:ascii="Calibri" w:hAnsi="Calibri" w:cs="Calibri"/>
          <w:noProof w:val="0"/>
          <w:sz w:val="22"/>
          <w:szCs w:val="22"/>
          <w:lang w:val="cs-CZ" w:eastAsia="en-US"/>
        </w:rPr>
        <w:t>objednávku neakceptuje</w:t>
      </w:r>
      <w:r w:rsidR="00A736AE" w:rsidRPr="00577DDE">
        <w:rPr>
          <w:rFonts w:ascii="Calibri" w:hAnsi="Calibri" w:cs="Calibri"/>
          <w:noProof w:val="0"/>
          <w:sz w:val="22"/>
          <w:szCs w:val="22"/>
          <w:lang w:val="cs-CZ" w:eastAsia="en-US"/>
        </w:rPr>
        <w:t>, je tato objednávka v systému MEDIO</w:t>
      </w:r>
      <w:r w:rsidR="00224B1C">
        <w:rPr>
          <w:rFonts w:ascii="Calibri" w:hAnsi="Calibri" w:cs="Calibri"/>
          <w:noProof w:val="0"/>
          <w:sz w:val="22"/>
          <w:szCs w:val="22"/>
          <w:lang w:val="cs-CZ" w:eastAsia="en-US"/>
        </w:rPr>
        <w:t>X</w:t>
      </w:r>
      <w:r w:rsidR="00A736AE" w:rsidRPr="00577DDE">
        <w:rPr>
          <w:rFonts w:ascii="Calibri" w:hAnsi="Calibri" w:cs="Calibri"/>
          <w:noProof w:val="0"/>
          <w:sz w:val="22"/>
          <w:szCs w:val="22"/>
          <w:lang w:val="cs-CZ" w:eastAsia="en-US"/>
        </w:rPr>
        <w:t xml:space="preserve"> potvrzena.</w:t>
      </w:r>
    </w:p>
    <w:p w14:paraId="0EC4C9A3" w14:textId="649C3C56" w:rsidR="006E595C" w:rsidRPr="0035437F" w:rsidRDefault="00F70141" w:rsidP="002E2619">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4C8C5FDB" w14:textId="32DC8C56" w:rsidR="00664B65" w:rsidRPr="00B14067" w:rsidRDefault="00664B65" w:rsidP="00EF559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EF5595">
        <w:rPr>
          <w:rFonts w:asciiTheme="minorHAnsi" w:hAnsiTheme="minorHAnsi" w:cstheme="minorHAnsi"/>
        </w:rPr>
        <w:t xml:space="preserve">stanoven </w:t>
      </w:r>
      <w:r w:rsidR="00D03316" w:rsidRPr="00EF5595">
        <w:rPr>
          <w:rFonts w:asciiTheme="minorHAnsi" w:hAnsiTheme="minorHAnsi" w:cstheme="minorHAnsi"/>
          <w:b/>
          <w:bCs/>
        </w:rPr>
        <w:t xml:space="preserve">max. </w:t>
      </w:r>
      <w:r w:rsidRPr="00EF5595">
        <w:rPr>
          <w:rFonts w:asciiTheme="minorHAnsi" w:hAnsiTheme="minorHAnsi" w:cstheme="minorHAnsi"/>
          <w:b/>
          <w:bCs/>
        </w:rPr>
        <w:t>do</w:t>
      </w:r>
      <w:r w:rsidRPr="00EF5595">
        <w:rPr>
          <w:rFonts w:asciiTheme="minorHAnsi" w:hAnsiTheme="minorHAnsi" w:cstheme="minorHAnsi"/>
          <w:b/>
        </w:rPr>
        <w:t xml:space="preserve"> 2</w:t>
      </w:r>
      <w:r w:rsidR="00AE2344" w:rsidRPr="00EF5595">
        <w:rPr>
          <w:rFonts w:asciiTheme="minorHAnsi" w:hAnsiTheme="minorHAnsi" w:cstheme="minorHAnsi"/>
          <w:b/>
        </w:rPr>
        <w:t>4 hodin</w:t>
      </w:r>
      <w:r w:rsidRPr="00EF5595">
        <w:rPr>
          <w:rFonts w:asciiTheme="minorHAnsi" w:hAnsiTheme="minorHAnsi" w:cstheme="minorHAnsi"/>
        </w:rPr>
        <w:t xml:space="preserve"> od </w:t>
      </w:r>
      <w:r w:rsidR="00333840" w:rsidRPr="00EF5595">
        <w:rPr>
          <w:rFonts w:asciiTheme="minorHAnsi" w:hAnsiTheme="minorHAnsi" w:cstheme="minorHAnsi"/>
        </w:rPr>
        <w:t xml:space="preserve">odeslání </w:t>
      </w:r>
      <w:r w:rsidRPr="00EF5595">
        <w:rPr>
          <w:rFonts w:asciiTheme="minorHAnsi" w:hAnsiTheme="minorHAnsi" w:cstheme="minorHAnsi"/>
        </w:rPr>
        <w:t xml:space="preserve">objednávky </w:t>
      </w:r>
      <w:r w:rsidR="009E503F" w:rsidRPr="00EF5595">
        <w:rPr>
          <w:rFonts w:asciiTheme="minorHAnsi" w:hAnsiTheme="minorHAnsi" w:cstheme="minorHAnsi"/>
        </w:rPr>
        <w:t>Kupujícím</w:t>
      </w:r>
      <w:r w:rsidRPr="00EF5595">
        <w:rPr>
          <w:rFonts w:asciiTheme="minorHAnsi" w:hAnsiTheme="minorHAnsi" w:cstheme="minorHAnsi"/>
        </w:rPr>
        <w:t>. Dodávka musí být uskutečněna vždy v časovém rozmezí</w:t>
      </w:r>
      <w:r w:rsidRPr="00EB3C1C">
        <w:rPr>
          <w:rFonts w:asciiTheme="minorHAnsi" w:hAnsiTheme="minorHAnsi" w:cstheme="minorHAnsi"/>
        </w:rPr>
        <w:t xml:space="preserve"> </w:t>
      </w:r>
      <w:r w:rsidR="000F3206">
        <w:rPr>
          <w:rFonts w:asciiTheme="minorHAnsi" w:hAnsiTheme="minorHAnsi" w:cstheme="minorHAnsi"/>
        </w:rPr>
        <w:t xml:space="preserve">dle přesného </w:t>
      </w:r>
      <w:r w:rsidR="002F46A1">
        <w:rPr>
          <w:rFonts w:asciiTheme="minorHAnsi" w:hAnsiTheme="minorHAnsi" w:cstheme="minorHAnsi"/>
        </w:rPr>
        <w:t xml:space="preserve">časového harmonogramu Kupujícího (v průběhu </w:t>
      </w:r>
      <w:r w:rsidR="00333840">
        <w:rPr>
          <w:rFonts w:asciiTheme="minorHAnsi" w:hAnsiTheme="minorHAnsi" w:cstheme="minorHAnsi"/>
        </w:rPr>
        <w:t xml:space="preserve">pracovního </w:t>
      </w:r>
      <w:r w:rsidR="007B33AD">
        <w:rPr>
          <w:rFonts w:asciiTheme="minorHAnsi" w:hAnsiTheme="minorHAnsi" w:cstheme="minorHAnsi"/>
        </w:rPr>
        <w:t xml:space="preserve">dne </w:t>
      </w:r>
      <w:r w:rsidRPr="00EB3C1C">
        <w:rPr>
          <w:rFonts w:asciiTheme="minorHAnsi" w:hAnsiTheme="minorHAnsi" w:cstheme="minorHAnsi"/>
        </w:rPr>
        <w:t xml:space="preserve">od </w:t>
      </w:r>
      <w:r w:rsidR="0055161F">
        <w:rPr>
          <w:rFonts w:asciiTheme="minorHAnsi" w:hAnsiTheme="minorHAnsi" w:cstheme="minorHAnsi"/>
        </w:rPr>
        <w:t>6</w:t>
      </w:r>
      <w:r w:rsidRPr="00EB3C1C">
        <w:rPr>
          <w:rFonts w:asciiTheme="minorHAnsi" w:hAnsiTheme="minorHAnsi" w:cstheme="minorHAnsi"/>
        </w:rPr>
        <w:t>:</w:t>
      </w:r>
      <w:r w:rsidR="009E503F">
        <w:rPr>
          <w:rFonts w:asciiTheme="minorHAnsi" w:hAnsiTheme="minorHAnsi" w:cstheme="minorHAnsi"/>
        </w:rPr>
        <w:t>0</w:t>
      </w:r>
      <w:r w:rsidRPr="00EB3C1C">
        <w:rPr>
          <w:rFonts w:asciiTheme="minorHAnsi" w:hAnsiTheme="minorHAnsi" w:cstheme="minorHAnsi"/>
        </w:rPr>
        <w:t>0 do 1</w:t>
      </w:r>
      <w:r w:rsidR="0055161F">
        <w:rPr>
          <w:rFonts w:asciiTheme="minorHAnsi" w:hAnsiTheme="minorHAnsi" w:cstheme="minorHAnsi"/>
        </w:rPr>
        <w:t>5</w:t>
      </w:r>
      <w:r w:rsidRPr="00EB3C1C">
        <w:rPr>
          <w:rFonts w:asciiTheme="minorHAnsi" w:hAnsiTheme="minorHAnsi" w:cstheme="minorHAnsi"/>
        </w:rPr>
        <w:t>:</w:t>
      </w:r>
      <w:r w:rsidR="004B73A6">
        <w:rPr>
          <w:rFonts w:asciiTheme="minorHAnsi" w:hAnsiTheme="minorHAnsi" w:cstheme="minorHAnsi"/>
        </w:rPr>
        <w:t>3</w:t>
      </w:r>
      <w:r w:rsidRPr="00EB3C1C">
        <w:rPr>
          <w:rFonts w:asciiTheme="minorHAnsi" w:hAnsiTheme="minorHAnsi" w:cstheme="minorHAnsi"/>
        </w:rPr>
        <w:t>0 hod.</w:t>
      </w:r>
      <w:r w:rsidR="00333840">
        <w:rPr>
          <w:rFonts w:asciiTheme="minorHAnsi" w:hAnsiTheme="minorHAnsi" w:cstheme="minorHAnsi"/>
        </w:rPr>
        <w:t>)</w:t>
      </w:r>
      <w:r w:rsidRPr="00EB3C1C">
        <w:rPr>
          <w:rFonts w:asciiTheme="minorHAnsi" w:hAnsiTheme="minorHAnsi" w:cstheme="minorHAnsi"/>
        </w:rPr>
        <w:t xml:space="preserve">. </w:t>
      </w:r>
      <w:r w:rsidRPr="00EB3C1C">
        <w:t xml:space="preserve">Připadne-li konec lhůty na sobotu, neděli, </w:t>
      </w:r>
      <w:r w:rsidRPr="00B14067">
        <w:t xml:space="preserve">popř. svátek, není </w:t>
      </w:r>
      <w:r w:rsidR="009B49A4" w:rsidRPr="00B14067">
        <w:t>P</w:t>
      </w:r>
      <w:r w:rsidRPr="00B14067">
        <w:t>rodávající v prodlení, dodá-li zboží nejbližší pracovní den.</w:t>
      </w:r>
    </w:p>
    <w:p w14:paraId="4046379D" w14:textId="3D78A11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w:t>
      </w:r>
      <w:r w:rsidRPr="00993119">
        <w:rPr>
          <w:rFonts w:asciiTheme="minorHAnsi" w:hAnsiTheme="minorHAnsi" w:cstheme="minorHAnsi"/>
          <w:noProof w:val="0"/>
          <w:lang w:val="cs-CZ"/>
        </w:rPr>
        <w:lastRenderedPageBreak/>
        <w:t xml:space="preserve">Prodávající </w:t>
      </w:r>
      <w:proofErr w:type="gramStart"/>
      <w:r w:rsidRPr="00993119">
        <w:rPr>
          <w:rFonts w:asciiTheme="minorHAnsi" w:hAnsiTheme="minorHAnsi" w:cstheme="minorHAnsi"/>
          <w:noProof w:val="0"/>
          <w:lang w:val="cs-CZ"/>
        </w:rPr>
        <w:t>ručí</w:t>
      </w:r>
      <w:proofErr w:type="gramEnd"/>
      <w:r w:rsidRPr="00993119">
        <w:rPr>
          <w:rFonts w:asciiTheme="minorHAnsi" w:hAnsiTheme="minorHAnsi" w:cstheme="minorHAnsi"/>
          <w:noProof w:val="0"/>
          <w:lang w:val="cs-CZ"/>
        </w:rPr>
        <w:t xml:space="preserve">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7E6B2EF5" w14:textId="70F56017" w:rsidR="00C42EA5" w:rsidRDefault="00C42EA5" w:rsidP="00C42EA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lastRenderedPageBreak/>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w:t>
      </w:r>
      <w:r w:rsidRPr="00343A93">
        <w:rPr>
          <w:rFonts w:asciiTheme="minorHAnsi" w:hAnsiTheme="minorHAnsi" w:cstheme="minorHAnsi"/>
          <w:noProof w:val="0"/>
          <w:lang w:val="cs-CZ"/>
        </w:rPr>
        <w:lastRenderedPageBreak/>
        <w:t xml:space="preserve">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lastRenderedPageBreak/>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w:t>
      </w:r>
      <w:proofErr w:type="gramStart"/>
      <w:r w:rsidRPr="00AD51A7">
        <w:rPr>
          <w:rFonts w:asciiTheme="minorHAnsi" w:hAnsiTheme="minorHAnsi" w:cstheme="minorHAnsi"/>
          <w:noProof w:val="0"/>
          <w:lang w:val="cs-CZ"/>
        </w:rPr>
        <w:t>vyznačí</w:t>
      </w:r>
      <w:proofErr w:type="gramEnd"/>
      <w:r w:rsidRPr="00AD51A7">
        <w:rPr>
          <w:rFonts w:asciiTheme="minorHAnsi" w:hAnsiTheme="minorHAnsi" w:cstheme="minorHAnsi"/>
          <w:noProof w:val="0"/>
          <w:lang w:val="cs-CZ"/>
        </w:rPr>
        <w:t xml:space="preserv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vadnou fakturu druhé smluvní straně, přestává běžet původní lhůta splatnosti. Nová lhůta splatnosti </w:t>
      </w:r>
      <w:proofErr w:type="gramStart"/>
      <w:r w:rsidRPr="00AD51A7">
        <w:rPr>
          <w:rFonts w:asciiTheme="minorHAnsi" w:hAnsiTheme="minorHAnsi" w:cstheme="minorHAnsi"/>
          <w:noProof w:val="0"/>
          <w:lang w:val="cs-CZ"/>
        </w:rPr>
        <w:t>běží</w:t>
      </w:r>
      <w:proofErr w:type="gramEnd"/>
      <w:r w:rsidRPr="00AD51A7">
        <w:rPr>
          <w:rFonts w:asciiTheme="minorHAnsi" w:hAnsiTheme="minorHAnsi" w:cstheme="minorHAnsi"/>
          <w:noProof w:val="0"/>
          <w:lang w:val="cs-CZ"/>
        </w:rPr>
        <w:t xml:space="preserve">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w:t>
      </w:r>
      <w:proofErr w:type="gramStart"/>
      <w:r w:rsidRPr="00FC4151">
        <w:rPr>
          <w:rFonts w:asciiTheme="minorHAnsi" w:hAnsiTheme="minorHAnsi" w:cstheme="minorHAnsi"/>
          <w:noProof w:val="0"/>
          <w:lang w:val="cs-CZ"/>
        </w:rPr>
        <w:t>skončí</w:t>
      </w:r>
      <w:proofErr w:type="gramEnd"/>
      <w:r w:rsidRPr="00FC4151">
        <w:rPr>
          <w:rFonts w:asciiTheme="minorHAnsi" w:hAnsiTheme="minorHAnsi" w:cstheme="minorHAnsi"/>
          <w:noProof w:val="0"/>
          <w:lang w:val="cs-CZ"/>
        </w:rPr>
        <w:t xml:space="preserve">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w:t>
      </w:r>
      <w:r w:rsidRPr="0050015A">
        <w:rPr>
          <w:rFonts w:asciiTheme="minorHAnsi" w:hAnsiTheme="minorHAnsi" w:cstheme="minorHAnsi"/>
          <w:noProof w:val="0"/>
          <w:lang w:val="cs-CZ"/>
        </w:rPr>
        <w:lastRenderedPageBreak/>
        <w:t xml:space="preserve">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3C9B438C"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12</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50918161" w14:textId="58D9E2F4" w:rsidR="00664B65" w:rsidRPr="0073706B" w:rsidRDefault="00664B65" w:rsidP="00664B65">
      <w:pPr>
        <w:pStyle w:val="Nadpis1"/>
        <w:rPr>
          <w:color w:val="auto"/>
        </w:rPr>
      </w:pPr>
      <w:r w:rsidRPr="0073706B">
        <w:rPr>
          <w:color w:val="auto"/>
        </w:rPr>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lastRenderedPageBreak/>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51A1B630"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r w:rsidRPr="000140B1">
        <w:rPr>
          <w:rFonts w:asciiTheme="minorHAnsi" w:hAnsiTheme="minorHAnsi" w:cstheme="minorHAnsi"/>
          <w:iCs/>
          <w:lang w:val="cs-CZ"/>
        </w:rPr>
        <w:t xml:space="preserve"> pouze v případě, že se Kupujícímu podaří zajistit dodávky léčivého přípravku dle čl. II odst</w:t>
      </w:r>
      <w:r w:rsidRPr="00C92612">
        <w:rPr>
          <w:rFonts w:asciiTheme="minorHAnsi" w:hAnsiTheme="minorHAnsi" w:cstheme="minorHAnsi"/>
          <w:iCs/>
          <w:lang w:val="cs-CZ"/>
        </w:rPr>
        <w:t xml:space="preserve">. 25 této </w:t>
      </w:r>
      <w:r w:rsidRPr="006C2E20">
        <w:rPr>
          <w:rFonts w:asciiTheme="minorHAnsi" w:hAnsiTheme="minorHAnsi" w:cstheme="minorHAnsi"/>
          <w:iCs/>
          <w:lang w:val="cs-CZ"/>
        </w:rPr>
        <w:t xml:space="preserve">smlouvy nebo v případě, že Prodávající zajistí v souladu s čl. II odst. </w:t>
      </w:r>
      <w:r w:rsidR="00C92612" w:rsidRPr="006C2E20">
        <w:rPr>
          <w:rFonts w:asciiTheme="minorHAnsi" w:hAnsiTheme="minorHAnsi" w:cstheme="minorHAnsi"/>
          <w:iCs/>
          <w:lang w:val="cs-CZ"/>
        </w:rPr>
        <w:t>29</w:t>
      </w:r>
      <w:r w:rsidR="000140B1" w:rsidRPr="006C2E20">
        <w:rPr>
          <w:rFonts w:asciiTheme="minorHAnsi" w:hAnsiTheme="minorHAnsi" w:cstheme="minorHAnsi"/>
          <w:iCs/>
          <w:lang w:val="cs-CZ"/>
        </w:rPr>
        <w:t xml:space="preserve"> písm. a) až e) této smlouvy</w:t>
      </w:r>
      <w:r w:rsidRPr="006C2E20">
        <w:rPr>
          <w:rFonts w:asciiTheme="minorHAnsi" w:hAnsiTheme="minorHAnsi" w:cstheme="minorHAnsi"/>
          <w:iCs/>
          <w:lang w:val="cs-CZ"/>
        </w:rPr>
        <w:t xml:space="preserve"> dodávky od</w:t>
      </w:r>
      <w:r w:rsidRPr="00BC6D95">
        <w:rPr>
          <w:rFonts w:asciiTheme="minorHAnsi" w:hAnsiTheme="minorHAnsi" w:cstheme="minorHAnsi"/>
          <w:iCs/>
          <w:lang w:val="cs-CZ"/>
        </w:rPr>
        <w:t>povídajícho náhradního léčivého přípravku. Prodávající je povinen doložit kupujícímu podklady prokazující výše uvedené důvody prodlení nejpozději do 48 hodin od uplynutí termínu pro dodání zboží dle této smlouvy, nedohodnou-li se smluvní strany jinak. Kupující je povinen písemně bezodkladně informovat Prodávajícího v případě, že se mu podaří zajistit dodávky od jiného dodavatele.</w:t>
      </w:r>
      <w:bookmarkEnd w:id="6"/>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w:t>
      </w:r>
      <w:proofErr w:type="gramStart"/>
      <w:r>
        <w:rPr>
          <w:rFonts w:asciiTheme="minorHAnsi" w:hAnsiTheme="minorHAnsi" w:cstheme="minorHAnsi"/>
          <w:noProof w:val="0"/>
          <w:color w:val="auto"/>
          <w:lang w:val="cs-CZ"/>
        </w:rPr>
        <w:t>slouží</w:t>
      </w:r>
      <w:proofErr w:type="gramEnd"/>
      <w:r>
        <w:rPr>
          <w:rFonts w:asciiTheme="minorHAnsi" w:hAnsiTheme="minorHAnsi" w:cstheme="minorHAnsi"/>
          <w:noProof w:val="0"/>
          <w:color w:val="auto"/>
          <w:lang w:val="cs-CZ"/>
        </w:rPr>
        <w:t xml:space="preserve">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p w14:paraId="062F8D43" w14:textId="77777777" w:rsidR="00D26037" w:rsidRPr="0073706B" w:rsidRDefault="00D26037" w:rsidP="00D2603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color w:val="auto"/>
          <w:lang w:val="cs-CZ"/>
        </w:rPr>
      </w:pP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lastRenderedPageBreak/>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Pr="004C7D27"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lastRenderedPageBreak/>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2D7FF3BC" w14:textId="4A5FDEA8" w:rsidR="00664B65" w:rsidRPr="0073706B" w:rsidRDefault="00664B65" w:rsidP="00664B65">
      <w:pPr>
        <w:pStyle w:val="Nadpis1"/>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 xml:space="preserve">Tato smlouva je vyhotovena ve 2 stejnopisech s platností originálu, z nichž každá ze smluvních stran </w:t>
      </w:r>
      <w:proofErr w:type="gramStart"/>
      <w:r w:rsidRPr="00137A7F">
        <w:rPr>
          <w:rFonts w:asciiTheme="minorHAnsi" w:hAnsiTheme="minorHAnsi" w:cstheme="minorHAnsi"/>
          <w:noProof w:val="0"/>
          <w:color w:val="auto"/>
          <w:lang w:val="cs-CZ"/>
        </w:rPr>
        <w:t>obdrží</w:t>
      </w:r>
      <w:proofErr w:type="gramEnd"/>
      <w:r w:rsidRPr="00137A7F">
        <w:rPr>
          <w:rFonts w:asciiTheme="minorHAnsi" w:hAnsiTheme="minorHAnsi" w:cstheme="minorHAnsi"/>
          <w:noProof w:val="0"/>
          <w:color w:val="auto"/>
          <w:lang w:val="cs-CZ"/>
        </w:rPr>
        <w:t xml:space="preserve">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2D5FAD"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2BE008B" w14:textId="77777777" w:rsidR="002D5FAD" w:rsidRDefault="002D5FAD"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60D37230"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1E5A667D"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4CFC3936"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3FEDA206"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B7266B3" w14:textId="77777777" w:rsidR="002C7E37" w:rsidRPr="00657E80"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lastRenderedPageBreak/>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w:t>
      </w:r>
      <w:proofErr w:type="gramStart"/>
      <w:r w:rsidRPr="0073706B">
        <w:rPr>
          <w:rFonts w:asciiTheme="minorHAnsi" w:hAnsiTheme="minorHAnsi" w:cstheme="minorHAnsi"/>
          <w:noProof w:val="0"/>
          <w:color w:val="auto"/>
          <w:lang w:val="cs-CZ"/>
        </w:rPr>
        <w:t>přiloží</w:t>
      </w:r>
      <w:proofErr w:type="gramEnd"/>
      <w:r w:rsidRPr="0073706B">
        <w:rPr>
          <w:rFonts w:asciiTheme="minorHAnsi" w:hAnsiTheme="minorHAnsi" w:cstheme="minorHAnsi"/>
          <w:noProof w:val="0"/>
          <w:color w:val="auto"/>
          <w:lang w:val="cs-CZ"/>
        </w:rPr>
        <w:t xml:space="preserve">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D775F7">
          <w:headerReference w:type="even" r:id="rId9"/>
          <w:headerReference w:type="default" r:id="rId10"/>
          <w:footerReference w:type="default" r:id="rId11"/>
          <w:headerReference w:type="first" r:id="rId12"/>
          <w:footerReference w:type="first" r:id="rId13"/>
          <w:pgSz w:w="11907" w:h="16840" w:code="9"/>
          <w:pgMar w:top="1843" w:right="1134" w:bottom="993" w:left="1134" w:header="1418" w:footer="737"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FD1113A"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C9EC45C"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7234B1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231F" w14:textId="77777777" w:rsidR="005D22F7" w:rsidRDefault="005D22F7">
      <w:r>
        <w:separator/>
      </w:r>
    </w:p>
  </w:endnote>
  <w:endnote w:type="continuationSeparator" w:id="0">
    <w:p w14:paraId="210E8C11" w14:textId="77777777" w:rsidR="005D22F7" w:rsidRDefault="005D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4C78" w14:textId="489D5E91" w:rsidR="00D63B44" w:rsidRPr="00AE28D1"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0000000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r w:rsidR="00D5063A" w:rsidRPr="00AE28D1">
      <w:rPr>
        <w:rFonts w:asciiTheme="minorHAnsi" w:hAnsiTheme="minorHAnsi"/>
        <w:sz w:val="18"/>
        <w:szCs w:val="18"/>
      </w:rPr>
      <w:fldChar w:fldCharType="begin"/>
    </w:r>
    <w:r w:rsidR="00D5063A" w:rsidRPr="00AE28D1">
      <w:rPr>
        <w:rFonts w:asciiTheme="minorHAnsi" w:hAnsiTheme="minorHAnsi"/>
        <w:sz w:val="18"/>
        <w:szCs w:val="18"/>
      </w:rPr>
      <w:instrText xml:space="preserve"> PAGE   \* MERGEFORMAT </w:instrText>
    </w:r>
    <w:r w:rsidR="00D5063A" w:rsidRPr="00AE28D1">
      <w:rPr>
        <w:rFonts w:asciiTheme="minorHAnsi" w:hAnsiTheme="minorHAnsi"/>
        <w:sz w:val="18"/>
        <w:szCs w:val="18"/>
      </w:rPr>
      <w:fldChar w:fldCharType="separate"/>
    </w:r>
    <w:r w:rsidR="00F32E05">
      <w:rPr>
        <w:rFonts w:asciiTheme="minorHAnsi" w:hAnsiTheme="minorHAnsi"/>
        <w:sz w:val="18"/>
        <w:szCs w:val="18"/>
      </w:rPr>
      <w:t>11</w:t>
    </w:r>
    <w:r w:rsidR="00D5063A" w:rsidRPr="00AE28D1">
      <w:rPr>
        <w:rFonts w:asciiTheme="minorHAnsi" w:hAnsiTheme="minorHAnsi"/>
        <w:sz w:val="18"/>
        <w:szCs w:val="18"/>
      </w:rPr>
      <w:fldChar w:fldCharType="end"/>
    </w:r>
    <w:r w:rsidR="00D5063A" w:rsidRPr="00AE28D1">
      <w:rPr>
        <w:rFonts w:asciiTheme="minorHAnsi" w:hAnsiTheme="minorHAnsi"/>
        <w:sz w:val="18"/>
        <w:szCs w:val="18"/>
      </w:rPr>
      <w:t xml:space="preserve"> / </w:t>
    </w:r>
    <w:r w:rsidR="00D5063A" w:rsidRPr="00AE28D1">
      <w:rPr>
        <w:rFonts w:asciiTheme="minorHAnsi" w:hAnsiTheme="minorHAnsi"/>
        <w:sz w:val="18"/>
        <w:szCs w:val="18"/>
      </w:rPr>
      <w:fldChar w:fldCharType="begin"/>
    </w:r>
    <w:r w:rsidR="00D5063A" w:rsidRPr="00AE28D1">
      <w:rPr>
        <w:rFonts w:asciiTheme="minorHAnsi" w:hAnsiTheme="minorHAnsi"/>
        <w:sz w:val="18"/>
        <w:szCs w:val="18"/>
      </w:rPr>
      <w:instrText xml:space="preserve"> NUMPAGES   \* MERGEFORMAT </w:instrText>
    </w:r>
    <w:r w:rsidR="00D5063A" w:rsidRPr="00AE28D1">
      <w:rPr>
        <w:rFonts w:asciiTheme="minorHAnsi" w:hAnsiTheme="minorHAnsi"/>
        <w:sz w:val="18"/>
        <w:szCs w:val="18"/>
      </w:rPr>
      <w:fldChar w:fldCharType="separate"/>
    </w:r>
    <w:r w:rsidR="00F32E05">
      <w:rPr>
        <w:rFonts w:asciiTheme="minorHAnsi" w:hAnsiTheme="minorHAnsi"/>
        <w:sz w:val="18"/>
        <w:szCs w:val="18"/>
      </w:rPr>
      <w:t>14</w:t>
    </w:r>
    <w:r w:rsidR="00D5063A"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FB9C" w14:textId="77777777" w:rsidR="005D22F7" w:rsidRDefault="005D22F7">
      <w:r>
        <w:separator/>
      </w:r>
    </w:p>
  </w:footnote>
  <w:footnote w:type="continuationSeparator" w:id="0">
    <w:p w14:paraId="477E6CB2" w14:textId="77777777" w:rsidR="005D22F7" w:rsidRDefault="005D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5B8" w14:textId="0281546E"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87066223">
    <w:abstractNumId w:val="9"/>
  </w:num>
  <w:num w:numId="2" w16cid:durableId="1375958855">
    <w:abstractNumId w:val="42"/>
  </w:num>
  <w:num w:numId="3" w16cid:durableId="825169426">
    <w:abstractNumId w:val="39"/>
  </w:num>
  <w:num w:numId="4" w16cid:durableId="1388605838">
    <w:abstractNumId w:val="23"/>
  </w:num>
  <w:num w:numId="5" w16cid:durableId="71975978">
    <w:abstractNumId w:val="18"/>
  </w:num>
  <w:num w:numId="6" w16cid:durableId="1796172914">
    <w:abstractNumId w:val="40"/>
  </w:num>
  <w:num w:numId="7" w16cid:durableId="2061055871">
    <w:abstractNumId w:val="29"/>
  </w:num>
  <w:num w:numId="8" w16cid:durableId="1214270387">
    <w:abstractNumId w:val="37"/>
  </w:num>
  <w:num w:numId="9" w16cid:durableId="662271673">
    <w:abstractNumId w:val="38"/>
  </w:num>
  <w:num w:numId="10" w16cid:durableId="2032801581">
    <w:abstractNumId w:val="11"/>
  </w:num>
  <w:num w:numId="11" w16cid:durableId="1204437639">
    <w:abstractNumId w:val="28"/>
  </w:num>
  <w:num w:numId="12" w16cid:durableId="730005838">
    <w:abstractNumId w:val="6"/>
  </w:num>
  <w:num w:numId="13" w16cid:durableId="1143546808">
    <w:abstractNumId w:val="13"/>
  </w:num>
  <w:num w:numId="14" w16cid:durableId="2045982464">
    <w:abstractNumId w:val="35"/>
  </w:num>
  <w:num w:numId="15" w16cid:durableId="343098097">
    <w:abstractNumId w:val="5"/>
  </w:num>
  <w:num w:numId="16" w16cid:durableId="1024020677">
    <w:abstractNumId w:val="16"/>
  </w:num>
  <w:num w:numId="17" w16cid:durableId="703095704">
    <w:abstractNumId w:val="12"/>
  </w:num>
  <w:num w:numId="18" w16cid:durableId="925071796">
    <w:abstractNumId w:val="8"/>
  </w:num>
  <w:num w:numId="19" w16cid:durableId="359210336">
    <w:abstractNumId w:val="25"/>
  </w:num>
  <w:num w:numId="20" w16cid:durableId="1446344546">
    <w:abstractNumId w:val="0"/>
  </w:num>
  <w:num w:numId="21" w16cid:durableId="1843668077">
    <w:abstractNumId w:val="10"/>
  </w:num>
  <w:num w:numId="22" w16cid:durableId="11610645">
    <w:abstractNumId w:val="3"/>
  </w:num>
  <w:num w:numId="23" w16cid:durableId="694960306">
    <w:abstractNumId w:val="21"/>
  </w:num>
  <w:num w:numId="24" w16cid:durableId="1000230934">
    <w:abstractNumId w:val="19"/>
  </w:num>
  <w:num w:numId="25" w16cid:durableId="1936934899">
    <w:abstractNumId w:val="22"/>
  </w:num>
  <w:num w:numId="26" w16cid:durableId="115370386">
    <w:abstractNumId w:val="24"/>
  </w:num>
  <w:num w:numId="27" w16cid:durableId="61954333">
    <w:abstractNumId w:val="1"/>
  </w:num>
  <w:num w:numId="28" w16cid:durableId="1048843009">
    <w:abstractNumId w:val="30"/>
  </w:num>
  <w:num w:numId="29" w16cid:durableId="1271283865">
    <w:abstractNumId w:val="26"/>
  </w:num>
  <w:num w:numId="30" w16cid:durableId="1451826154">
    <w:abstractNumId w:val="2"/>
  </w:num>
  <w:num w:numId="31" w16cid:durableId="1765028658">
    <w:abstractNumId w:val="4"/>
  </w:num>
  <w:num w:numId="32" w16cid:durableId="1569073384">
    <w:abstractNumId w:val="33"/>
  </w:num>
  <w:num w:numId="33" w16cid:durableId="626860863">
    <w:abstractNumId w:val="14"/>
  </w:num>
  <w:num w:numId="34" w16cid:durableId="245580032">
    <w:abstractNumId w:val="36"/>
  </w:num>
  <w:num w:numId="35" w16cid:durableId="1927305510">
    <w:abstractNumId w:val="7"/>
  </w:num>
  <w:num w:numId="36" w16cid:durableId="1808161282">
    <w:abstractNumId w:val="27"/>
  </w:num>
  <w:num w:numId="37" w16cid:durableId="1803883425">
    <w:abstractNumId w:val="15"/>
  </w:num>
  <w:num w:numId="38" w16cid:durableId="1421294042">
    <w:abstractNumId w:val="32"/>
  </w:num>
  <w:num w:numId="39" w16cid:durableId="393312032">
    <w:abstractNumId w:val="34"/>
  </w:num>
  <w:num w:numId="40" w16cid:durableId="1053771470">
    <w:abstractNumId w:val="31"/>
  </w:num>
  <w:num w:numId="41" w16cid:durableId="765155219">
    <w:abstractNumId w:val="20"/>
  </w:num>
  <w:num w:numId="42" w16cid:durableId="1580409844">
    <w:abstractNumId w:val="41"/>
  </w:num>
  <w:num w:numId="43" w16cid:durableId="3845245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40D2"/>
    <w:rsid w:val="000F3206"/>
    <w:rsid w:val="000F6AB2"/>
    <w:rsid w:val="00100707"/>
    <w:rsid w:val="00102BBC"/>
    <w:rsid w:val="0011130A"/>
    <w:rsid w:val="00113A49"/>
    <w:rsid w:val="001159EC"/>
    <w:rsid w:val="00121BFC"/>
    <w:rsid w:val="00126CA9"/>
    <w:rsid w:val="001329EF"/>
    <w:rsid w:val="00137ACF"/>
    <w:rsid w:val="0014252B"/>
    <w:rsid w:val="00144BF1"/>
    <w:rsid w:val="001450FD"/>
    <w:rsid w:val="00151B7B"/>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4C55"/>
    <w:rsid w:val="002B2457"/>
    <w:rsid w:val="002B3EB5"/>
    <w:rsid w:val="002B5A1A"/>
    <w:rsid w:val="002C3DE8"/>
    <w:rsid w:val="002C40DB"/>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F78"/>
    <w:rsid w:val="00356D27"/>
    <w:rsid w:val="003617A8"/>
    <w:rsid w:val="00362F89"/>
    <w:rsid w:val="00363F39"/>
    <w:rsid w:val="00365FF4"/>
    <w:rsid w:val="003705A9"/>
    <w:rsid w:val="0037104A"/>
    <w:rsid w:val="00372838"/>
    <w:rsid w:val="0037691D"/>
    <w:rsid w:val="003835D2"/>
    <w:rsid w:val="0039285C"/>
    <w:rsid w:val="00396E51"/>
    <w:rsid w:val="003A075E"/>
    <w:rsid w:val="003B0B6C"/>
    <w:rsid w:val="003B4D8C"/>
    <w:rsid w:val="003B550D"/>
    <w:rsid w:val="003B5830"/>
    <w:rsid w:val="003B6041"/>
    <w:rsid w:val="003C2BDC"/>
    <w:rsid w:val="003C47AC"/>
    <w:rsid w:val="003C4FE8"/>
    <w:rsid w:val="003C527B"/>
    <w:rsid w:val="003D05AE"/>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50015A"/>
    <w:rsid w:val="0050041C"/>
    <w:rsid w:val="00502BA5"/>
    <w:rsid w:val="00505CCB"/>
    <w:rsid w:val="0051166B"/>
    <w:rsid w:val="005176C4"/>
    <w:rsid w:val="005177CF"/>
    <w:rsid w:val="005201EE"/>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1F94"/>
    <w:rsid w:val="005A3A4F"/>
    <w:rsid w:val="005B5CB0"/>
    <w:rsid w:val="005B7E4E"/>
    <w:rsid w:val="005C0362"/>
    <w:rsid w:val="005C10D9"/>
    <w:rsid w:val="005C114F"/>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F2710"/>
    <w:rsid w:val="007F6AB3"/>
    <w:rsid w:val="00800377"/>
    <w:rsid w:val="008019C9"/>
    <w:rsid w:val="00802D7F"/>
    <w:rsid w:val="00804008"/>
    <w:rsid w:val="00805DD4"/>
    <w:rsid w:val="0081186F"/>
    <w:rsid w:val="00813479"/>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21A5D"/>
    <w:rsid w:val="00D26037"/>
    <w:rsid w:val="00D269B1"/>
    <w:rsid w:val="00D35BBA"/>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6F8B"/>
    <w:rsid w:val="00D775F7"/>
    <w:rsid w:val="00D81278"/>
    <w:rsid w:val="00D84B2C"/>
    <w:rsid w:val="00D914EB"/>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42C32"/>
    <w:rsid w:val="00F43020"/>
    <w:rsid w:val="00F44CFC"/>
    <w:rsid w:val="00F4778C"/>
    <w:rsid w:val="00F47E39"/>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tomisova@kk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5171</Words>
  <Characters>30514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2022-09-21T11:07:00Z</dcterms:created>
  <dcterms:modified xsi:type="dcterms:W3CDTF">2025-09-23T15:37:00Z</dcterms:modified>
</cp:coreProperties>
</file>