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Default="00983E9A" w:rsidP="00F57CB8">
      <w:pPr>
        <w:ind w:firstLine="0"/>
        <w:jc w:val="center"/>
        <w:rPr>
          <w:rFonts w:asciiTheme="minorHAnsi" w:hAnsiTheme="minorHAnsi"/>
          <w:lang w:val="cs-CZ"/>
        </w:rPr>
      </w:pPr>
      <w:r>
        <w:rPr>
          <w:noProof/>
          <w:lang w:val="cs-CZ" w:eastAsia="cs-CZ" w:bidi="ar-SA"/>
        </w:rPr>
        <w:drawing>
          <wp:inline distT="0" distB="0" distL="0" distR="0">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rsidR="001434A6" w:rsidRDefault="001434A6" w:rsidP="00F57CB8">
      <w:pPr>
        <w:ind w:firstLine="0"/>
        <w:jc w:val="center"/>
        <w:rPr>
          <w:rFonts w:asciiTheme="minorHAnsi" w:hAnsiTheme="minorHAnsi"/>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983E9A">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F57CB8" w:rsidRPr="00AC77DB" w:rsidTr="00D86AFE">
        <w:tc>
          <w:tcPr>
            <w:tcW w:w="2405" w:type="dxa"/>
          </w:tcPr>
          <w:p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Název</w:t>
            </w:r>
            <w:r w:rsidR="00D86AFE" w:rsidRPr="00AC77DB">
              <w:rPr>
                <w:rFonts w:cs="Verdana"/>
                <w:lang w:val="cs-CZ"/>
              </w:rPr>
              <w:t>:</w:t>
            </w:r>
          </w:p>
        </w:tc>
        <w:tc>
          <w:tcPr>
            <w:tcW w:w="6089" w:type="dxa"/>
          </w:tcPr>
          <w:p w:rsidR="00F57CB8" w:rsidRPr="00AC77DB" w:rsidRDefault="009F211F" w:rsidP="00CB503C">
            <w:pPr>
              <w:tabs>
                <w:tab w:val="left" w:pos="2268"/>
              </w:tabs>
              <w:ind w:firstLine="0"/>
              <w:contextualSpacing/>
              <w:rPr>
                <w:rFonts w:asciiTheme="minorHAnsi" w:hAnsiTheme="minorHAnsi"/>
                <w:b/>
                <w:lang w:val="cs-CZ"/>
              </w:rPr>
            </w:pPr>
            <w:r w:rsidRPr="00875CCC">
              <w:rPr>
                <w:rFonts w:cs="Arial"/>
                <w:b/>
                <w:color w:val="000000"/>
                <w:lang w:eastAsia="cs-CZ"/>
              </w:rPr>
              <w:t>Muzeum Sokolov, p.</w:t>
            </w:r>
            <w:r>
              <w:rPr>
                <w:rFonts w:cs="Arial"/>
                <w:b/>
                <w:color w:val="000000"/>
                <w:lang w:eastAsia="cs-CZ"/>
              </w:rPr>
              <w:t xml:space="preserve"> </w:t>
            </w:r>
            <w:r w:rsidRPr="00875CCC">
              <w:rPr>
                <w:rFonts w:cs="Arial"/>
                <w:b/>
                <w:color w:val="000000"/>
                <w:lang w:eastAsia="cs-CZ"/>
              </w:rPr>
              <w:t>o. Karlovarského kraje</w:t>
            </w:r>
          </w:p>
        </w:tc>
      </w:tr>
      <w:tr w:rsidR="00F57CB8" w:rsidRPr="00AC77DB" w:rsidTr="00D86AFE">
        <w:tc>
          <w:tcPr>
            <w:tcW w:w="2405" w:type="dxa"/>
          </w:tcPr>
          <w:p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F57CB8" w:rsidRPr="00AC77DB" w:rsidRDefault="009F211F" w:rsidP="00CB503C">
            <w:pPr>
              <w:tabs>
                <w:tab w:val="left" w:pos="2268"/>
              </w:tabs>
              <w:ind w:firstLine="0"/>
              <w:contextualSpacing/>
              <w:rPr>
                <w:rFonts w:asciiTheme="minorHAnsi" w:hAnsiTheme="minorHAnsi"/>
                <w:lang w:val="cs-CZ"/>
              </w:rPr>
            </w:pPr>
            <w:r w:rsidRPr="00875CCC">
              <w:rPr>
                <w:rFonts w:cs="Arial"/>
                <w:color w:val="000000"/>
                <w:lang w:eastAsia="cs-CZ"/>
              </w:rPr>
              <w:t>Zámecká 1, 356 01 Sokolov</w:t>
            </w:r>
          </w:p>
        </w:tc>
      </w:tr>
      <w:tr w:rsidR="00F57CB8" w:rsidRPr="00AC77DB" w:rsidTr="00D86AFE">
        <w:tc>
          <w:tcPr>
            <w:tcW w:w="2405" w:type="dxa"/>
          </w:tcPr>
          <w:p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F57CB8" w:rsidRPr="00AC77DB" w:rsidRDefault="009F211F" w:rsidP="00CB503C">
            <w:pPr>
              <w:tabs>
                <w:tab w:val="left" w:pos="2268"/>
              </w:tabs>
              <w:ind w:firstLine="0"/>
              <w:contextualSpacing/>
              <w:rPr>
                <w:rFonts w:asciiTheme="minorHAnsi" w:hAnsiTheme="minorHAnsi"/>
                <w:lang w:val="cs-CZ"/>
              </w:rPr>
            </w:pPr>
            <w:r w:rsidRPr="00875CCC">
              <w:rPr>
                <w:rFonts w:cs="Arial"/>
                <w:color w:val="000000"/>
                <w:lang w:eastAsia="cs-CZ"/>
              </w:rPr>
              <w:t>72053801</w:t>
            </w:r>
          </w:p>
        </w:tc>
      </w:tr>
      <w:tr w:rsidR="00F57CB8" w:rsidRPr="00AC77DB" w:rsidTr="00D86AFE">
        <w:tc>
          <w:tcPr>
            <w:tcW w:w="2405" w:type="dxa"/>
          </w:tcPr>
          <w:p w:rsidR="00F57CB8" w:rsidRPr="00AC77DB" w:rsidRDefault="00D86AFE" w:rsidP="00CB503C">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78361A" w:rsidRDefault="009F211F" w:rsidP="001434A6">
            <w:pPr>
              <w:ind w:firstLine="0"/>
              <w:rPr>
                <w:rStyle w:val="Siln"/>
                <w:bCs w:val="0"/>
                <w:color w:val="FF0000"/>
              </w:rPr>
            </w:pPr>
            <w:r w:rsidRPr="00875CCC">
              <w:rPr>
                <w:rFonts w:cs="Arial"/>
                <w:color w:val="000000"/>
                <w:lang w:eastAsia="cs-CZ"/>
              </w:rPr>
              <w:t>Ing. Michael</w:t>
            </w:r>
            <w:r>
              <w:rPr>
                <w:rFonts w:cs="Arial"/>
                <w:color w:val="000000"/>
                <w:lang w:eastAsia="cs-CZ"/>
              </w:rPr>
              <w:t xml:space="preserve"> Rund</w:t>
            </w:r>
            <w:r w:rsidRPr="00875CCC">
              <w:rPr>
                <w:rFonts w:cs="Arial"/>
                <w:color w:val="000000"/>
                <w:lang w:eastAsia="cs-CZ"/>
              </w:rPr>
              <w:t>, ředitel</w:t>
            </w:r>
          </w:p>
          <w:p w:rsidR="00F57CB8" w:rsidRPr="00AC77DB" w:rsidRDefault="00F57CB8" w:rsidP="001434A6">
            <w:pPr>
              <w:ind w:firstLine="0"/>
              <w:rPr>
                <w:rFonts w:asciiTheme="minorHAnsi" w:hAnsiTheme="minorHAnsi"/>
                <w:b/>
                <w:lang w:val="cs-CZ"/>
              </w:rPr>
            </w:pPr>
          </w:p>
        </w:tc>
      </w:tr>
      <w:tr w:rsidR="00D86AFE" w:rsidRPr="00AC77DB" w:rsidTr="00C76F82">
        <w:tc>
          <w:tcPr>
            <w:tcW w:w="2405" w:type="dxa"/>
            <w:shd w:val="clear" w:color="auto" w:fill="auto"/>
          </w:tcPr>
          <w:p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D86AFE" w:rsidRPr="00AC77DB" w:rsidRDefault="00D86AFE" w:rsidP="00CB503C">
            <w:pPr>
              <w:tabs>
                <w:tab w:val="left" w:pos="2268"/>
              </w:tabs>
              <w:ind w:firstLine="0"/>
              <w:contextualSpacing/>
              <w:rPr>
                <w:rFonts w:asciiTheme="minorHAnsi" w:hAnsiTheme="minorHAnsi"/>
                <w:lang w:val="cs-CZ"/>
              </w:rPr>
            </w:pPr>
          </w:p>
        </w:tc>
      </w:tr>
      <w:tr w:rsidR="00D86AFE" w:rsidRPr="00AC77DB" w:rsidTr="00C76F82">
        <w:tc>
          <w:tcPr>
            <w:tcW w:w="2405" w:type="dxa"/>
            <w:shd w:val="clear" w:color="auto" w:fill="auto"/>
          </w:tcPr>
          <w:p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D86AFE" w:rsidRPr="00AC77DB" w:rsidRDefault="00D86AFE" w:rsidP="00CB503C">
            <w:pPr>
              <w:tabs>
                <w:tab w:val="left" w:pos="2268"/>
              </w:tabs>
              <w:ind w:firstLine="0"/>
              <w:contextualSpacing/>
              <w:rPr>
                <w:rFonts w:asciiTheme="minorHAnsi" w:hAnsiTheme="minorHAnsi"/>
                <w:lang w:val="cs-CZ"/>
              </w:rPr>
            </w:pPr>
          </w:p>
        </w:tc>
      </w:tr>
      <w:tr w:rsidR="00F57CB8" w:rsidRPr="00AC77DB" w:rsidTr="00C76F82">
        <w:tc>
          <w:tcPr>
            <w:tcW w:w="2405" w:type="dxa"/>
            <w:shd w:val="clear" w:color="auto" w:fill="auto"/>
          </w:tcPr>
          <w:p w:rsidR="00F57CB8" w:rsidRPr="0074386E" w:rsidRDefault="00D86AFE" w:rsidP="00CB503C">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F57CB8" w:rsidRPr="0074386E" w:rsidRDefault="009F211F" w:rsidP="00CB503C">
            <w:pPr>
              <w:tabs>
                <w:tab w:val="left" w:pos="2268"/>
              </w:tabs>
              <w:ind w:firstLine="0"/>
              <w:contextualSpacing/>
              <w:rPr>
                <w:rFonts w:asciiTheme="minorHAnsi" w:hAnsiTheme="minorHAnsi"/>
                <w:lang w:val="cs-CZ"/>
              </w:rPr>
            </w:pPr>
            <w:r>
              <w:rPr>
                <w:rStyle w:val="Siln"/>
              </w:rPr>
              <w:t>Jiří Loskot</w:t>
            </w:r>
          </w:p>
        </w:tc>
      </w:tr>
      <w:tr w:rsidR="00F57CB8" w:rsidRPr="00AC77DB" w:rsidTr="00C76F82">
        <w:tc>
          <w:tcPr>
            <w:tcW w:w="2405" w:type="dxa"/>
            <w:shd w:val="clear" w:color="auto" w:fill="auto"/>
          </w:tcPr>
          <w:p w:rsidR="00F57CB8"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F57CB8" w:rsidRPr="00AC77DB" w:rsidRDefault="009F211F" w:rsidP="00CB503C">
            <w:pPr>
              <w:tabs>
                <w:tab w:val="left" w:pos="2268"/>
              </w:tabs>
              <w:ind w:firstLine="0"/>
              <w:contextualSpacing/>
              <w:rPr>
                <w:rFonts w:asciiTheme="minorHAnsi" w:hAnsiTheme="minorHAnsi"/>
                <w:lang w:val="cs-CZ"/>
              </w:rPr>
            </w:pPr>
            <w:r>
              <w:rPr>
                <w:rFonts w:asciiTheme="minorHAnsi" w:hAnsiTheme="minorHAnsi"/>
                <w:lang w:val="cs-CZ"/>
              </w:rPr>
              <w:t>724 547 139</w:t>
            </w:r>
          </w:p>
        </w:tc>
      </w:tr>
      <w:tr w:rsidR="00D86AFE" w:rsidRPr="00AC77DB" w:rsidTr="00C76F82">
        <w:trPr>
          <w:trHeight w:val="80"/>
        </w:trPr>
        <w:tc>
          <w:tcPr>
            <w:tcW w:w="2405" w:type="dxa"/>
            <w:shd w:val="clear" w:color="auto" w:fill="auto"/>
          </w:tcPr>
          <w:p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D86AFE" w:rsidRPr="00AC77DB" w:rsidRDefault="001D7DD0" w:rsidP="00CB503C">
            <w:pPr>
              <w:tabs>
                <w:tab w:val="left" w:pos="2268"/>
              </w:tabs>
              <w:ind w:firstLine="0"/>
              <w:contextualSpacing/>
              <w:rPr>
                <w:rFonts w:asciiTheme="minorHAnsi" w:hAnsiTheme="minorHAnsi"/>
                <w:lang w:val="cs-CZ"/>
              </w:rPr>
            </w:pPr>
            <w:hyperlink r:id="rId12" w:history="1">
              <w:r w:rsidR="009F211F" w:rsidRPr="00B630F7">
                <w:rPr>
                  <w:rStyle w:val="Hypertextovodkaz"/>
                  <w:rFonts w:asciiTheme="minorHAnsi" w:hAnsiTheme="minorHAnsi"/>
                  <w:lang w:val="cs-CZ"/>
                </w:rPr>
                <w:t>loskot@muzeum-sokolov.cz</w:t>
              </w:r>
            </w:hyperlink>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„SoD“)</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D86AFE">
      <w:pPr>
        <w:spacing w:before="120" w:line="240" w:lineRule="atLeast"/>
        <w:ind w:left="851" w:hanging="425"/>
        <w:contextualSpacing/>
        <w:jc w:val="center"/>
        <w:rPr>
          <w:rFonts w:asciiTheme="minorHAnsi" w:hAnsiTheme="minorHAnsi"/>
          <w:b/>
          <w:caps/>
          <w:lang w:val="cs-CZ"/>
        </w:rPr>
      </w:pPr>
    </w:p>
    <w:p w:rsidR="00983E9A" w:rsidRPr="009F211F" w:rsidRDefault="009F211F" w:rsidP="00983E9A">
      <w:pPr>
        <w:pStyle w:val="Bezmezer"/>
        <w:numPr>
          <w:ilvl w:val="0"/>
          <w:numId w:val="0"/>
        </w:numPr>
        <w:jc w:val="center"/>
        <w:rPr>
          <w:rFonts w:cs="Arial"/>
          <w:b/>
          <w:caps/>
          <w:sz w:val="32"/>
        </w:rPr>
      </w:pPr>
      <w:r w:rsidRPr="009F211F">
        <w:rPr>
          <w:rFonts w:cs="Arial"/>
          <w:b/>
          <w:caps/>
          <w:sz w:val="32"/>
        </w:rPr>
        <w:t>Vybudování zázemí pro vstup do Štoly č. 1 v Jáchymově</w:t>
      </w: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206B35" w:rsidRPr="00F1435A" w:rsidRDefault="00206B35" w:rsidP="009F211F">
      <w:pPr>
        <w:numPr>
          <w:ilvl w:val="0"/>
          <w:numId w:val="5"/>
        </w:numPr>
        <w:spacing w:after="120"/>
        <w:jc w:val="both"/>
        <w:rPr>
          <w:lang w:val="cs-CZ"/>
        </w:rPr>
      </w:pPr>
      <w:r w:rsidRPr="00C438C2">
        <w:rPr>
          <w:rFonts w:asciiTheme="minorHAnsi" w:hAnsiTheme="minorHAnsi"/>
          <w:lang w:val="cs-CZ"/>
        </w:rPr>
        <w:t>Zakázka,</w:t>
      </w:r>
      <w:r w:rsidRPr="00C438C2">
        <w:rPr>
          <w:lang w:val="cs-CZ"/>
        </w:rPr>
        <w:t xml:space="preserve"> v rámci projektu: </w:t>
      </w:r>
      <w:r w:rsidR="009F211F" w:rsidRPr="009F211F">
        <w:rPr>
          <w:lang w:val="cs-CZ"/>
        </w:rPr>
        <w:t>Vybudování zázemí pro vstup do Štoly č. 1 v Jáchymově</w:t>
      </w:r>
      <w:r w:rsidRPr="00C438C2">
        <w:rPr>
          <w:lang w:val="cs-CZ"/>
        </w:rPr>
        <w:t>,</w:t>
      </w:r>
      <w:r>
        <w:rPr>
          <w:rFonts w:asciiTheme="minorHAnsi" w:hAnsiTheme="minorHAnsi"/>
          <w:lang w:val="cs-CZ"/>
        </w:rPr>
        <w:t xml:space="preserve"> bude v případě přidělení dotace,</w:t>
      </w:r>
      <w:r w:rsidRPr="00C438C2">
        <w:rPr>
          <w:rFonts w:asciiTheme="minorHAnsi" w:hAnsiTheme="minorHAnsi"/>
          <w:lang w:val="cs-CZ"/>
        </w:rPr>
        <w:t xml:space="preserve"> financována ze zdrojů EU, konkrétně z Evropského fondu pro regionální rozvoj v rámci Regionálního operačního programu regionu soudržnosti Severozápad pro období 2007-2013 (dále jen „ROP SZ“).</w:t>
      </w:r>
    </w:p>
    <w:p w:rsidR="00D86AFE" w:rsidRPr="00AC77DB"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206B35" w:rsidRPr="00C438C2" w:rsidRDefault="00206B35" w:rsidP="00206B35">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cs="Arial"/>
          <w:lang w:val="cs-CZ"/>
        </w:rPr>
        <w:t>Veškeré práce, činnosti a dodávky v rámci předmětu díla budou prováděny také v souladu s relevantními dokumenty ROP SZ, zejména pak s Příručkou pro žadatele a Příručkou pro příjemce podpory v ROP SZ.</w:t>
      </w:r>
    </w:p>
    <w:p w:rsidR="009C49F2" w:rsidRPr="007B34CE" w:rsidRDefault="009C49F2" w:rsidP="009C49F2">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7B34CE">
        <w:rPr>
          <w:rFonts w:asciiTheme="minorHAnsi" w:hAnsiTheme="minorHAnsi"/>
          <w:lang w:val="cs-CZ"/>
        </w:rPr>
        <w:t xml:space="preserve">Předmětem </w:t>
      </w:r>
      <w:r w:rsidRPr="009F211F">
        <w:rPr>
          <w:rFonts w:asciiTheme="minorHAnsi" w:hAnsiTheme="minorHAnsi"/>
          <w:lang w:val="cs-CZ"/>
        </w:rPr>
        <w:t xml:space="preserve">díla </w:t>
      </w:r>
      <w:r w:rsidR="009F211F" w:rsidRPr="009F211F">
        <w:rPr>
          <w:rFonts w:cs="Arial"/>
          <w:lang w:val="cs-CZ"/>
        </w:rPr>
        <w:t>jsou stavební práce vedoucí k realizaci ideového připomenutí tábora Svornost ve městě Jáchymov. Stavba je situována do původního prostoru plošiny vpravo od tzv. Mauthaussenského schodiště, které spojovalo pracovní tábor Svornost s vlastní šachtou stejného jména</w:t>
      </w:r>
      <w:r w:rsidRPr="009F211F">
        <w:rPr>
          <w:lang w:val="cs-CZ"/>
        </w:rPr>
        <w:t>.</w:t>
      </w:r>
      <w:r w:rsidRPr="009F211F">
        <w:rPr>
          <w:rFonts w:cs="Arial"/>
          <w:lang w:val="cs-CZ"/>
        </w:rPr>
        <w:t xml:space="preserve"> Dílo bude</w:t>
      </w:r>
      <w:r w:rsidRPr="007B34CE">
        <w:rPr>
          <w:rFonts w:cs="Arial"/>
          <w:lang w:val="cs-CZ"/>
        </w:rPr>
        <w:t xml:space="preserve"> provedeno v </w:t>
      </w:r>
      <w:r w:rsidRPr="007B34CE">
        <w:rPr>
          <w:rFonts w:asciiTheme="minorHAnsi" w:hAnsiTheme="minorHAnsi"/>
          <w:lang w:val="cs-CZ"/>
        </w:rPr>
        <w:t xml:space="preserve">souladu s projektovou dokumentací a obecně závaznými technickými podmínkami uvedených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lastRenderedPageBreak/>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w:t>
      </w:r>
      <w:r w:rsidR="009F211F">
        <w:rPr>
          <w:rFonts w:asciiTheme="majorHAnsi" w:hAnsiTheme="majorHAnsi"/>
          <w:lang w:val="cs-CZ"/>
        </w:rPr>
        <w:t>e</w:t>
      </w:r>
      <w:r w:rsidRPr="00AC77DB">
        <w:rPr>
          <w:rFonts w:asciiTheme="majorHAnsi" w:hAnsiTheme="majorHAnsi"/>
          <w:lang w:val="cs-CZ"/>
        </w:rPr>
        <w:t xml:space="preserve"> projektové dokumentace + elektronicky na datovém nosiči,</w:t>
      </w:r>
    </w:p>
    <w:p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zkoušky</w:t>
      </w:r>
      <w:r w:rsidR="00BE7AA0" w:rsidRPr="00AC77DB">
        <w:rPr>
          <w:rFonts w:asciiTheme="majorHAnsi" w:hAnsiTheme="majorHAnsi"/>
          <w:lang w:val="cs-CZ"/>
        </w:rPr>
        <w:t xml:space="preserve"> a revize předepsané projektem </w:t>
      </w:r>
      <w:r w:rsidRPr="00AC77DB">
        <w:rPr>
          <w:rFonts w:asciiTheme="majorHAnsi" w:hAnsiTheme="majorHAnsi"/>
          <w:lang w:val="cs-CZ"/>
        </w:rPr>
        <w:t>nebo ty, jejichž nutnost provedení</w:t>
      </w:r>
      <w:r w:rsidR="002E1D45" w:rsidRPr="00AC77DB">
        <w:rPr>
          <w:rFonts w:asciiTheme="majorHAnsi" w:hAnsiTheme="majorHAnsi"/>
          <w:lang w:val="cs-CZ"/>
        </w:rPr>
        <w:t xml:space="preserve"> vyplývá z technických norem a </w:t>
      </w:r>
      <w:r w:rsidRPr="00AC77DB">
        <w:rPr>
          <w:rFonts w:asciiTheme="majorHAnsi" w:hAnsiTheme="majorHAnsi"/>
          <w:lang w:val="cs-CZ"/>
        </w:rPr>
        <w:t xml:space="preserve">předpisů, </w:t>
      </w:r>
    </w:p>
    <w:p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rsidR="004245F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rsidR="007B34CE" w:rsidRPr="007B34CE" w:rsidRDefault="007B34CE" w:rsidP="007B34CE">
      <w:pPr>
        <w:spacing w:after="0"/>
        <w:ind w:left="1210" w:firstLine="0"/>
        <w:jc w:val="both"/>
        <w:rPr>
          <w:rFonts w:asciiTheme="majorHAnsi" w:hAnsiTheme="majorHAnsi"/>
          <w:sz w:val="12"/>
          <w:szCs w:val="12"/>
          <w:lang w:val="cs-CZ"/>
        </w:rPr>
      </w:pPr>
    </w:p>
    <w:p w:rsidR="007B34CE" w:rsidRPr="00C438C2" w:rsidRDefault="007B34CE" w:rsidP="007B34CE">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C438C2">
        <w:rPr>
          <w:rFonts w:cs="Arial"/>
          <w:u w:val="single"/>
          <w:lang w:val="cs-CZ" w:eastAsia="cs-CZ"/>
        </w:rPr>
        <w:t>Součástí předmětu plnění je i zajištění povinné publicity veřejné zakázky:</w:t>
      </w:r>
    </w:p>
    <w:p w:rsidR="007B34CE" w:rsidRPr="00C438C2" w:rsidRDefault="007B34CE" w:rsidP="007B34CE">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rsidR="007B34CE" w:rsidRPr="00C438C2" w:rsidRDefault="007B34CE" w:rsidP="007B34CE">
      <w:pPr>
        <w:pStyle w:val="Odstavecseseznamem"/>
        <w:numPr>
          <w:ilvl w:val="0"/>
          <w:numId w:val="25"/>
        </w:numPr>
        <w:ind w:left="1276" w:hanging="425"/>
        <w:jc w:val="both"/>
        <w:rPr>
          <w:lang w:val="cs-CZ"/>
        </w:rPr>
      </w:pPr>
      <w:r w:rsidRPr="00C438C2">
        <w:rPr>
          <w:lang w:val="cs-CZ"/>
        </w:rPr>
        <w:t xml:space="preserve">v rámci informování o realizaci projektu za finanční spoluúčasti EU je součástí předmětu plnění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jen „Závazné pokyny“), ve standardu podle grafického manuálu povinné publicity pro ROP SZ. Grafický návrh informačních panelů a pamětních desek </w:t>
      </w:r>
      <w:r w:rsidRPr="00C438C2">
        <w:rPr>
          <w:rFonts w:cs="Arial"/>
          <w:lang w:val="cs-CZ"/>
        </w:rPr>
        <w:t>podléhá schválení zadavatele</w:t>
      </w:r>
      <w:r w:rsidRPr="00C438C2">
        <w:rPr>
          <w:lang w:val="cs-CZ"/>
        </w:rPr>
        <w:t>.</w:t>
      </w:r>
    </w:p>
    <w:p w:rsidR="007B34CE" w:rsidRPr="007B34CE" w:rsidRDefault="007B34CE" w:rsidP="007B34CE">
      <w:pPr>
        <w:pStyle w:val="Odstavecseseznamem"/>
        <w:numPr>
          <w:ilvl w:val="0"/>
          <w:numId w:val="25"/>
        </w:numPr>
        <w:ind w:left="1276" w:hanging="425"/>
        <w:jc w:val="both"/>
        <w:rPr>
          <w:lang w:val="cs-CZ"/>
        </w:rPr>
      </w:pPr>
      <w:r w:rsidRPr="00C438C2">
        <w:rPr>
          <w:lang w:val="cs-CZ"/>
        </w:rPr>
        <w:t>Dodavatel ihned po předání staveniště dodá a instaluje 1 ks velkoplošného informačního panelu</w:t>
      </w:r>
      <w:r>
        <w:rPr>
          <w:lang w:val="cs-CZ"/>
        </w:rPr>
        <w:t xml:space="preserve"> o rozměrech </w:t>
      </w:r>
      <w:r w:rsidR="00DC78A2">
        <w:t>5,1 x 2,4</w:t>
      </w:r>
      <w:r w:rsidR="00DC78A2" w:rsidRPr="00347BF9">
        <w:t xml:space="preserve"> </w:t>
      </w:r>
      <w:r w:rsidRPr="00C438C2">
        <w:rPr>
          <w:lang w:val="cs-CZ"/>
        </w:rPr>
        <w:t>m a při předání stavby dodá a zajistí umístění 1 ks trvalé pamětní desky o rozměrech 300 x 400 mm.</w:t>
      </w:r>
    </w:p>
    <w:p w:rsidR="00EF7463" w:rsidRPr="00AC77DB" w:rsidRDefault="00EF7463" w:rsidP="00EF7463">
      <w:pPr>
        <w:spacing w:after="0"/>
        <w:ind w:left="1210" w:firstLine="0"/>
        <w:jc w:val="both"/>
        <w:rPr>
          <w:rFonts w:asciiTheme="majorHAnsi" w:hAnsiTheme="majorHAnsi"/>
          <w:sz w:val="6"/>
          <w:szCs w:val="6"/>
          <w:lang w:val="cs-CZ"/>
        </w:rPr>
      </w:pPr>
    </w:p>
    <w:p w:rsidR="00E5539B" w:rsidRPr="007B34CE"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7B34CE">
        <w:rPr>
          <w:rFonts w:cs="Arial"/>
          <w:u w:val="single"/>
          <w:lang w:val="cs-CZ"/>
        </w:rPr>
        <w:t>Místo plnění zakázky</w:t>
      </w:r>
      <w:r w:rsidR="0004771F" w:rsidRPr="007B34CE">
        <w:rPr>
          <w:rFonts w:cs="Arial"/>
          <w:lang w:val="cs-CZ"/>
        </w:rPr>
        <w:t xml:space="preserve"> </w:t>
      </w:r>
      <w:r w:rsidR="009F211F" w:rsidRPr="004F331F">
        <w:rPr>
          <w:rFonts w:cs="Arial"/>
        </w:rPr>
        <w:t>se nachází na p.p.č. 23203/12, 3203/, 4922, 707/2, 970 a 3203/10 v k.ú. Jách</w:t>
      </w:r>
      <w:r w:rsidR="009F211F">
        <w:rPr>
          <w:rFonts w:cs="Arial"/>
        </w:rPr>
        <w:t>ym</w:t>
      </w:r>
      <w:r w:rsidR="009F211F" w:rsidRPr="004F331F">
        <w:rPr>
          <w:rFonts w:cs="Arial"/>
        </w:rPr>
        <w:t>ov</w:t>
      </w:r>
      <w:r w:rsidR="007B34CE" w:rsidRPr="007B34CE">
        <w:rPr>
          <w:rFonts w:cs="Arial"/>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rsidR="00163683" w:rsidRPr="007B34CE" w:rsidRDefault="00327A46" w:rsidP="00C97B43">
      <w:pPr>
        <w:pStyle w:val="Bezmezer"/>
        <w:numPr>
          <w:ilvl w:val="0"/>
          <w:numId w:val="24"/>
        </w:numPr>
        <w:ind w:left="1276" w:hanging="425"/>
        <w:jc w:val="both"/>
        <w:rPr>
          <w:rFonts w:cs="ArialNarrow"/>
          <w:lang w:val="cs-CZ" w:eastAsia="cs-CZ"/>
        </w:rPr>
      </w:pPr>
      <w:r w:rsidRPr="007B34CE">
        <w:rPr>
          <w:lang w:val="cs-CZ"/>
        </w:rPr>
        <w:t>p</w:t>
      </w:r>
      <w:r w:rsidR="00520EEB" w:rsidRPr="007B34CE">
        <w:rPr>
          <w:lang w:val="cs-CZ"/>
        </w:rPr>
        <w:t>rojektovou dokumentací</w:t>
      </w:r>
      <w:r w:rsidR="00163683" w:rsidRPr="007B34CE">
        <w:rPr>
          <w:lang w:val="cs-CZ"/>
        </w:rPr>
        <w:t xml:space="preserve"> </w:t>
      </w:r>
      <w:r w:rsidR="00163683" w:rsidRPr="009F211F">
        <w:rPr>
          <w:lang w:val="cs-CZ"/>
        </w:rPr>
        <w:t>zpracovanou</w:t>
      </w:r>
      <w:r w:rsidR="007B34CE" w:rsidRPr="009F211F">
        <w:rPr>
          <w:lang w:val="cs-CZ"/>
        </w:rPr>
        <w:t xml:space="preserve"> </w:t>
      </w:r>
      <w:r w:rsidR="009F211F" w:rsidRPr="009F211F">
        <w:t>Ing. Janem Woletzem – R projekt, se sídlem: Šeříková 44, 637 00 Brno, IČ: 66526132</w:t>
      </w:r>
      <w:r w:rsidR="009F211F" w:rsidRPr="009F211F">
        <w:rPr>
          <w:rFonts w:cs="ArialNarrow"/>
          <w:lang w:eastAsia="cs-CZ"/>
        </w:rPr>
        <w:t>, ve stupni Dokumentace pro provedení stavby, z 9/2010, zakázkové číslo 204-74-4-9040-4</w:t>
      </w:r>
      <w:r w:rsidR="009F211F" w:rsidRPr="007B34CE">
        <w:rPr>
          <w:rFonts w:cs="ArialNarrow"/>
          <w:lang w:val="cs-CZ" w:eastAsia="cs-CZ"/>
        </w:rPr>
        <w:t xml:space="preserve"> </w:t>
      </w:r>
      <w:r w:rsidR="00163683" w:rsidRPr="007B34CE">
        <w:rPr>
          <w:rFonts w:cs="ArialNarrow"/>
          <w:lang w:val="cs-CZ" w:eastAsia="cs-CZ"/>
        </w:rPr>
        <w:t>(d</w:t>
      </w:r>
      <w:r w:rsidR="004F1C76" w:rsidRPr="007B34CE">
        <w:rPr>
          <w:rFonts w:cs="ArialNarrow"/>
          <w:lang w:val="cs-CZ" w:eastAsia="cs-CZ"/>
        </w:rPr>
        <w:t>á</w:t>
      </w:r>
      <w:r w:rsidR="00163683" w:rsidRPr="007B34CE">
        <w:rPr>
          <w:rFonts w:cs="ArialNarrow"/>
          <w:lang w:val="cs-CZ" w:eastAsia="cs-CZ"/>
        </w:rPr>
        <w:t xml:space="preserve">le jen </w:t>
      </w:r>
      <w:r w:rsidR="00163683" w:rsidRPr="007B34CE">
        <w:rPr>
          <w:rFonts w:cs="Arial"/>
          <w:bCs/>
          <w:i/>
          <w:lang w:val="cs-CZ" w:eastAsia="cs-CZ"/>
        </w:rPr>
        <w:t>„</w:t>
      </w:r>
      <w:r w:rsidR="00163683" w:rsidRPr="007B34CE">
        <w:rPr>
          <w:rFonts w:cs="ArialNarrow"/>
          <w:lang w:val="cs-CZ" w:eastAsia="cs-CZ"/>
        </w:rPr>
        <w:t>projektová dokumentace”</w:t>
      </w:r>
      <w:r w:rsidR="00BB3499" w:rsidRPr="007B34CE">
        <w:rPr>
          <w:rFonts w:cs="ArialNarrow"/>
          <w:lang w:val="cs-CZ" w:eastAsia="cs-CZ"/>
        </w:rPr>
        <w:t>)</w:t>
      </w:r>
      <w:r w:rsidR="00342F22" w:rsidRPr="007B34CE">
        <w:rPr>
          <w:rFonts w:cs="ArialNarrow"/>
          <w:i/>
          <w:lang w:val="cs-CZ" w:eastAsia="cs-CZ"/>
        </w:rPr>
        <w:t>,</w:t>
      </w:r>
    </w:p>
    <w:p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w:t>
      </w:r>
      <w:r w:rsidR="00E5539B" w:rsidRPr="00AC77DB">
        <w:rPr>
          <w:lang w:val="cs-CZ"/>
        </w:rPr>
        <w:lastRenderedPageBreak/>
        <w:t>jako odborné firmy mají nebo mohou mít vliv na úspěšné provádění a dokončení díla za podmínek sjednaných touto smlouvou.</w:t>
      </w:r>
    </w:p>
    <w:p w:rsidR="00707CD6" w:rsidRPr="00AC77DB" w:rsidRDefault="00707CD6" w:rsidP="00707CD6">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E5539B" w:rsidRPr="007B34CE" w:rsidRDefault="005374DD" w:rsidP="009F211F">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výběrového řízení „</w:t>
      </w:r>
      <w:r w:rsidR="009F211F" w:rsidRPr="009F211F">
        <w:rPr>
          <w:rFonts w:asciiTheme="minorHAnsi" w:hAnsiTheme="minorHAnsi"/>
          <w:lang w:val="cs-CZ"/>
        </w:rPr>
        <w:t>Vybudování zázemí pro vstup do Štoly č. 1 v Jáchymově</w:t>
      </w:r>
      <w:r w:rsidR="004245FB" w:rsidRPr="007B34CE">
        <w:rPr>
          <w:rFonts w:asciiTheme="minorHAnsi" w:hAnsiTheme="minorHAnsi"/>
          <w:lang w:val="cs-CZ"/>
        </w:rPr>
        <w:t>“</w:t>
      </w:r>
      <w:r w:rsidRPr="007B34CE">
        <w:rPr>
          <w:rFonts w:asciiTheme="minorHAnsi" w:hAnsiTheme="minorHAnsi"/>
          <w:lang w:val="cs-CZ"/>
        </w:rPr>
        <w:t>.</w:t>
      </w:r>
      <w:r w:rsidR="004245FB" w:rsidRPr="007B34CE">
        <w:rPr>
          <w:rFonts w:asciiTheme="minorHAnsi" w:hAnsiTheme="minorHAnsi"/>
          <w:lang w:val="cs-CZ"/>
        </w:rPr>
        <w:t xml:space="preserve"> Oceněný soupis prací</w:t>
      </w:r>
      <w:r w:rsidR="00650EBA" w:rsidRPr="007B34CE">
        <w:rPr>
          <w:rFonts w:asciiTheme="minorHAnsi" w:hAnsiTheme="minorHAnsi"/>
          <w:lang w:val="cs-CZ"/>
        </w:rPr>
        <w:t xml:space="preserve"> a výkaz výměr</w:t>
      </w:r>
      <w:r w:rsidR="00270F20" w:rsidRPr="007B34CE">
        <w:rPr>
          <w:rFonts w:asciiTheme="minorHAnsi" w:hAnsiTheme="minorHAnsi"/>
          <w:lang w:val="cs-CZ"/>
        </w:rPr>
        <w:t xml:space="preserve"> </w:t>
      </w:r>
      <w:r w:rsidR="002E1D45" w:rsidRPr="007B34CE">
        <w:rPr>
          <w:rFonts w:asciiTheme="minorHAnsi" w:hAnsiTheme="minorHAnsi"/>
          <w:lang w:val="cs-CZ"/>
        </w:rPr>
        <w:t>tvoří přílohu této smlouvy</w:t>
      </w:r>
      <w:r w:rsidR="00270F20" w:rsidRPr="007B34CE">
        <w:rPr>
          <w:rFonts w:asciiTheme="minorHAnsi" w:hAnsiTheme="minorHAnsi"/>
          <w:lang w:val="cs-CZ"/>
        </w:rPr>
        <w:t>.</w:t>
      </w:r>
      <w:r w:rsidR="00E5539B" w:rsidRPr="007B34CE">
        <w:rPr>
          <w:rFonts w:asciiTheme="minorHAnsi" w:hAnsiTheme="minorHAnsi"/>
          <w:lang w:val="cs-CZ"/>
        </w:rPr>
        <w:t xml:space="preserve"> </w:t>
      </w:r>
    </w:p>
    <w:p w:rsidR="007B34CE" w:rsidRDefault="007B34CE" w:rsidP="00707CD6">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tblInd w:w="421" w:type="dxa"/>
        <w:tblLook w:val="04A0" w:firstRow="1" w:lastRow="0" w:firstColumn="1" w:lastColumn="0" w:noHBand="0" w:noVBand="1"/>
      </w:tblPr>
      <w:tblGrid>
        <w:gridCol w:w="6350"/>
        <w:gridCol w:w="2574"/>
      </w:tblGrid>
      <w:tr w:rsidR="007B06C2" w:rsidRPr="00C438C2" w:rsidTr="00105EE3">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105EE3">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105EE3">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105EE3">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lastRenderedPageBreak/>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206B35" w:rsidRPr="00C438C2" w:rsidRDefault="00206B35" w:rsidP="00206B35">
      <w:pPr>
        <w:numPr>
          <w:ilvl w:val="0"/>
          <w:numId w:val="8"/>
        </w:numPr>
        <w:ind w:left="714" w:hanging="357"/>
        <w:jc w:val="both"/>
        <w:rPr>
          <w:rFonts w:cs="Verdana"/>
          <w:bCs/>
          <w:lang w:val="cs-CZ"/>
        </w:rPr>
      </w:pPr>
      <w:r w:rsidRPr="00C438C2">
        <w:rPr>
          <w:rFonts w:cs="Verdana"/>
          <w:bCs/>
          <w:lang w:val="cs-CZ"/>
        </w:rPr>
        <w:t xml:space="preserve">Cena díla bude uhrazena na základě faktur (daňových dokladů) vystavených zhotovitelem, které budou splňovat veškeré zákonné náležitosti daňového dokladu, a dále bude splňovat veškeré náležitosti požadované podmínkami ROP SZ.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AC77DB" w:rsidRDefault="00270F20" w:rsidP="00C97B43">
      <w:pPr>
        <w:numPr>
          <w:ilvl w:val="0"/>
          <w:numId w:val="8"/>
        </w:numPr>
        <w:ind w:left="714" w:hanging="357"/>
        <w:jc w:val="both"/>
        <w:rPr>
          <w:lang w:val="cs-CZ"/>
        </w:rPr>
      </w:pPr>
      <w:r w:rsidRPr="00C21448">
        <w:rPr>
          <w:rFonts w:cs="Verdana"/>
          <w:b/>
          <w:bCs/>
          <w:lang w:val="cs-CZ"/>
        </w:rPr>
        <w:t xml:space="preserve">Splatnost faktur je </w:t>
      </w:r>
      <w:r w:rsidR="001D7DD0">
        <w:rPr>
          <w:rFonts w:cs="Verdana"/>
          <w:b/>
          <w:bCs/>
          <w:lang w:val="cs-CZ"/>
        </w:rPr>
        <w:t>14</w:t>
      </w:r>
      <w:r w:rsidR="00C21448"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r w:rsidR="0074386E">
        <w:rPr>
          <w:rFonts w:cs="Verdana"/>
          <w:lang w:val="cs-CZ"/>
        </w:rPr>
        <w:t xml:space="preserve"> </w:t>
      </w:r>
    </w:p>
    <w:p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rsidR="00C22269" w:rsidRPr="00AC77DB" w:rsidRDefault="00C22269" w:rsidP="000F0FC0">
      <w:pPr>
        <w:ind w:left="714" w:firstLine="0"/>
        <w:jc w:val="both"/>
        <w:rPr>
          <w:lang w:val="cs-CZ"/>
        </w:rPr>
      </w:pPr>
    </w:p>
    <w:p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rsidR="00270F20" w:rsidRPr="00AC77DB" w:rsidRDefault="00984F9C" w:rsidP="009E764D">
      <w:pPr>
        <w:spacing w:before="120" w:after="120"/>
        <w:ind w:left="850" w:hanging="425"/>
        <w:jc w:val="center"/>
        <w:rPr>
          <w:b/>
          <w:caps/>
          <w:lang w:val="cs-CZ"/>
        </w:rPr>
      </w:pPr>
      <w:r w:rsidRPr="00AC77DB">
        <w:rPr>
          <w:b/>
          <w:caps/>
          <w:lang w:val="cs-CZ"/>
        </w:rPr>
        <w:t>DOBA PLNĚNÍ</w:t>
      </w:r>
    </w:p>
    <w:p w:rsidR="00984F9C" w:rsidRPr="009F211F" w:rsidRDefault="00984F9C" w:rsidP="00C97B43">
      <w:pPr>
        <w:numPr>
          <w:ilvl w:val="0"/>
          <w:numId w:val="9"/>
        </w:numPr>
        <w:spacing w:after="0"/>
        <w:rPr>
          <w:rFonts w:cs="Verdana"/>
          <w:bCs/>
          <w:lang w:val="cs-CZ"/>
        </w:rPr>
      </w:pPr>
      <w:r w:rsidRPr="00AC77DB">
        <w:rPr>
          <w:rFonts w:cs="Verdana"/>
          <w:bCs/>
          <w:lang w:val="cs-CZ"/>
        </w:rPr>
        <w:t xml:space="preserve">Realizace bude </w:t>
      </w:r>
      <w:r w:rsidRPr="009F211F">
        <w:rPr>
          <w:rFonts w:cs="Verdana"/>
          <w:bCs/>
          <w:lang w:val="cs-CZ"/>
        </w:rPr>
        <w:t xml:space="preserve">probíhat v následujících termínech: </w:t>
      </w:r>
    </w:p>
    <w:p w:rsidR="0011104B" w:rsidRPr="009F211F" w:rsidRDefault="0011104B" w:rsidP="0011104B">
      <w:pPr>
        <w:pStyle w:val="Bezmezer"/>
        <w:numPr>
          <w:ilvl w:val="0"/>
          <w:numId w:val="0"/>
        </w:numPr>
        <w:ind w:left="709"/>
        <w:rPr>
          <w:lang w:val="cs-CZ"/>
        </w:rPr>
      </w:pPr>
      <w:r w:rsidRPr="009F211F">
        <w:rPr>
          <w:lang w:val="cs-CZ"/>
        </w:rPr>
        <w:t>Zahájení prací</w:t>
      </w:r>
      <w:r w:rsidR="00342F22" w:rsidRPr="009F211F">
        <w:rPr>
          <w:lang w:val="cs-CZ"/>
        </w:rPr>
        <w:t>/předání staveni</w:t>
      </w:r>
      <w:r w:rsidR="00C97B43" w:rsidRPr="009F211F">
        <w:rPr>
          <w:lang w:val="cs-CZ"/>
        </w:rPr>
        <w:t>ště</w:t>
      </w:r>
      <w:r w:rsidRPr="009F211F">
        <w:rPr>
          <w:lang w:val="cs-CZ"/>
        </w:rPr>
        <w:t xml:space="preserve">: </w:t>
      </w:r>
      <w:r w:rsidR="00C97B43" w:rsidRPr="009F211F">
        <w:rPr>
          <w:lang w:val="cs-CZ"/>
        </w:rPr>
        <w:tab/>
      </w:r>
      <w:r w:rsidR="001D7DD0">
        <w:rPr>
          <w:lang w:val="cs-CZ"/>
        </w:rPr>
        <w:t>0</w:t>
      </w:r>
      <w:r w:rsidR="00983E9A" w:rsidRPr="009F211F">
        <w:rPr>
          <w:lang w:val="cs-CZ"/>
        </w:rPr>
        <w:t>1.03.2015</w:t>
      </w:r>
      <w:r w:rsidRPr="009F211F">
        <w:rPr>
          <w:lang w:val="cs-CZ"/>
        </w:rPr>
        <w:t xml:space="preserve">. </w:t>
      </w:r>
    </w:p>
    <w:p w:rsidR="0011104B" w:rsidRPr="0074386E" w:rsidRDefault="0011104B" w:rsidP="00983E9A">
      <w:pPr>
        <w:pStyle w:val="Bezmezer"/>
        <w:numPr>
          <w:ilvl w:val="0"/>
          <w:numId w:val="0"/>
        </w:numPr>
        <w:ind w:left="709"/>
        <w:rPr>
          <w:lang w:val="cs-CZ"/>
        </w:rPr>
      </w:pPr>
      <w:r w:rsidRPr="009F211F">
        <w:rPr>
          <w:lang w:val="cs-CZ"/>
        </w:rPr>
        <w:t>Ukončení prací a převzetí hotové díla</w:t>
      </w:r>
      <w:r w:rsidR="00983E9A" w:rsidRPr="009F211F">
        <w:rPr>
          <w:lang w:val="cs-CZ"/>
        </w:rPr>
        <w:t>:    30.09</w:t>
      </w:r>
      <w:r w:rsidR="00641389" w:rsidRPr="009F211F">
        <w:rPr>
          <w:lang w:val="cs-CZ"/>
        </w:rPr>
        <w:t>.</w:t>
      </w:r>
      <w:r w:rsidR="003C38FD" w:rsidRPr="009F211F">
        <w:rPr>
          <w:lang w:val="cs-CZ"/>
        </w:rPr>
        <w:t>2015</w:t>
      </w:r>
      <w:r w:rsidRPr="009F211F">
        <w:rPr>
          <w:lang w:val="cs-CZ"/>
        </w:rPr>
        <w:t>.</w:t>
      </w:r>
    </w:p>
    <w:p w:rsidR="0011104B" w:rsidRPr="00AC77DB" w:rsidRDefault="0011104B" w:rsidP="0011104B">
      <w:pPr>
        <w:pStyle w:val="Bezmezer"/>
        <w:numPr>
          <w:ilvl w:val="0"/>
          <w:numId w:val="0"/>
        </w:numPr>
        <w:ind w:left="709"/>
        <w:rPr>
          <w:sz w:val="6"/>
          <w:szCs w:val="6"/>
          <w:lang w:val="cs-CZ"/>
        </w:rPr>
      </w:pPr>
    </w:p>
    <w:p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AC7CF8" w:rsidRPr="007B06C2"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rsidR="007B06C2" w:rsidRPr="00AC77DB" w:rsidRDefault="007B06C2" w:rsidP="007B06C2">
      <w:pPr>
        <w:ind w:left="714" w:firstLine="0"/>
        <w:jc w:val="both"/>
        <w:rPr>
          <w:rFonts w:cs="Verdana"/>
          <w:bCs/>
          <w:lang w:val="cs-CZ"/>
        </w:rPr>
      </w:pPr>
    </w:p>
    <w:p w:rsidR="00AC7CF8" w:rsidRPr="00AC77DB" w:rsidRDefault="00EF7463" w:rsidP="00EF7463">
      <w:pPr>
        <w:pStyle w:val="Nadpis1"/>
        <w:spacing w:before="240"/>
        <w:ind w:left="4253" w:hanging="3827"/>
        <w:jc w:val="center"/>
        <w:rPr>
          <w:sz w:val="22"/>
          <w:szCs w:val="22"/>
        </w:rPr>
      </w:pPr>
      <w:r w:rsidRPr="00AC77DB">
        <w:rPr>
          <w:sz w:val="22"/>
          <w:szCs w:val="22"/>
        </w:rPr>
        <w:lastRenderedPageBreak/>
        <w:t>Článek 6</w:t>
      </w:r>
    </w:p>
    <w:p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rsidR="005E0DD6" w:rsidRPr="00AC77DB" w:rsidRDefault="00550275" w:rsidP="00C97B43">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rsidR="005E0DD6" w:rsidRPr="00AC77DB" w:rsidRDefault="00AC7CF8" w:rsidP="00C97B43">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AC77DB" w:rsidRDefault="00D705D7" w:rsidP="00C97B43">
      <w:pPr>
        <w:numPr>
          <w:ilvl w:val="0"/>
          <w:numId w:val="11"/>
        </w:numPr>
        <w:spacing w:afterLines="60" w:after="144"/>
        <w:jc w:val="both"/>
        <w:rPr>
          <w:lang w:val="cs-CZ"/>
        </w:rPr>
      </w:pPr>
      <w:r w:rsidRPr="00AC77DB">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AC77DB" w:rsidRDefault="00AC7CF8" w:rsidP="00C97B43">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AC77DB" w:rsidRDefault="00AC7CF8" w:rsidP="00C97B43">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AC77DB" w:rsidRDefault="00AC7CF8" w:rsidP="00C97B43">
      <w:pPr>
        <w:numPr>
          <w:ilvl w:val="0"/>
          <w:numId w:val="11"/>
        </w:numPr>
        <w:spacing w:afterLines="60" w:after="144"/>
        <w:jc w:val="both"/>
        <w:rPr>
          <w:lang w:val="cs-CZ"/>
        </w:rPr>
      </w:pPr>
      <w:r w:rsidRPr="00AC77DB">
        <w:rPr>
          <w:lang w:val="cs-CZ"/>
        </w:rPr>
        <w:t>Zhotovitel zodpovídá za práci subdodavatelských subjektů, jako by je prováděl sám.</w:t>
      </w:r>
    </w:p>
    <w:p w:rsidR="005E0DD6" w:rsidRPr="00AC77DB" w:rsidRDefault="00550275" w:rsidP="00C97B43">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AC77DB" w:rsidRDefault="00550275" w:rsidP="00C97B43">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5E0DD6" w:rsidRPr="00AC77DB" w:rsidRDefault="00D72D7A" w:rsidP="00C97B43">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rsidR="005E0DD6" w:rsidRPr="00AC77DB" w:rsidRDefault="00AC7CF8" w:rsidP="00C97B43">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rsidR="005E0DD6" w:rsidRPr="00AC77DB" w:rsidRDefault="00550275" w:rsidP="00C97B43">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AC77DB" w:rsidRDefault="00D705D7" w:rsidP="00C97B43">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652C8D" w:rsidRDefault="00652C8D" w:rsidP="00652C8D">
      <w:pPr>
        <w:rPr>
          <w:highlight w:val="yellow"/>
          <w:lang w:val="cs-CZ"/>
        </w:rPr>
      </w:pPr>
    </w:p>
    <w:p w:rsidR="001D7DD0" w:rsidRPr="00AC77DB" w:rsidRDefault="001D7DD0" w:rsidP="00652C8D">
      <w:pPr>
        <w:rPr>
          <w:highlight w:val="yellow"/>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lastRenderedPageBreak/>
        <w:t>Článek 7</w:t>
      </w:r>
    </w:p>
    <w:p w:rsidR="00D705D7" w:rsidRPr="00AC77DB" w:rsidRDefault="00D705D7" w:rsidP="009E764D">
      <w:pPr>
        <w:spacing w:before="120" w:after="120"/>
        <w:ind w:left="850" w:hanging="425"/>
        <w:jc w:val="center"/>
        <w:rPr>
          <w:b/>
          <w:caps/>
          <w:lang w:val="cs-CZ"/>
        </w:rPr>
      </w:pPr>
      <w:r w:rsidRPr="00AC77DB">
        <w:rPr>
          <w:b/>
          <w:caps/>
          <w:lang w:val="cs-CZ"/>
        </w:rPr>
        <w:t>Staveniště</w:t>
      </w:r>
    </w:p>
    <w:p w:rsidR="005E0DD6" w:rsidRPr="00AC77DB" w:rsidRDefault="00D705D7" w:rsidP="00C97B43">
      <w:pPr>
        <w:numPr>
          <w:ilvl w:val="0"/>
          <w:numId w:val="20"/>
        </w:numPr>
        <w:spacing w:afterLines="60" w:after="144"/>
        <w:jc w:val="both"/>
        <w:rPr>
          <w:lang w:val="cs-CZ"/>
        </w:rPr>
      </w:pPr>
      <w:r w:rsidRPr="00AC77DB">
        <w:rPr>
          <w:lang w:val="cs-CZ"/>
        </w:rPr>
        <w:t xml:space="preserve">Objednatel předá zhotoviteli staveniště </w:t>
      </w:r>
      <w:r w:rsidR="00BD5AE0" w:rsidRPr="00AC77DB">
        <w:rPr>
          <w:lang w:val="cs-CZ"/>
        </w:rPr>
        <w:t>nejpozději do 10</w:t>
      </w:r>
      <w:r w:rsidRPr="00AC77DB">
        <w:rPr>
          <w:lang w:val="cs-CZ"/>
        </w:rPr>
        <w:t xml:space="preserve"> pracovních dnů po podpisu SoD, pokud se strany nedohodnou jinak. </w:t>
      </w:r>
    </w:p>
    <w:p w:rsidR="005E0DD6" w:rsidRPr="00AC77DB" w:rsidRDefault="00D705D7" w:rsidP="00C97B43">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AC77DB" w:rsidRDefault="00D705D7" w:rsidP="00C97B43">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rsidR="005E0DD6" w:rsidRPr="00AC77DB" w:rsidRDefault="00D705D7" w:rsidP="00C97B43">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5E0DD6" w:rsidRPr="00AC77DB" w:rsidRDefault="00D705D7" w:rsidP="00C97B43">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AC77DB" w:rsidRDefault="00D705D7" w:rsidP="00C97B43">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AC77DB" w:rsidRDefault="00D705D7" w:rsidP="00C97B43">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rsidR="005E0DD6" w:rsidRPr="00AC77DB" w:rsidRDefault="00D705D7" w:rsidP="00C97B43">
      <w:pPr>
        <w:numPr>
          <w:ilvl w:val="0"/>
          <w:numId w:val="20"/>
        </w:numPr>
        <w:spacing w:afterLines="60" w:after="144"/>
        <w:jc w:val="both"/>
        <w:rPr>
          <w:lang w:val="cs-CZ"/>
        </w:rPr>
      </w:pPr>
      <w:r w:rsidRPr="00AC77DB">
        <w:rPr>
          <w:lang w:val="cs-CZ"/>
        </w:rPr>
        <w:t>Zhotovitel zajistí na své náklady odběrná místa energií včetně měření odběrů.</w:t>
      </w:r>
    </w:p>
    <w:p w:rsidR="005E0DD6" w:rsidRPr="00AC77DB" w:rsidRDefault="00D705D7" w:rsidP="00C97B43">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5E0DD6" w:rsidRPr="00AC77DB" w:rsidRDefault="00D705D7" w:rsidP="00C97B43">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rsidR="00877D9C" w:rsidRPr="00AC77DB" w:rsidRDefault="00D705D7" w:rsidP="00C97B43">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EF7463" w:rsidRPr="00AC77DB" w:rsidRDefault="00EF7463" w:rsidP="00EF7463">
      <w:pPr>
        <w:pStyle w:val="Nadpis1"/>
        <w:spacing w:before="240"/>
        <w:ind w:left="4253" w:hanging="4111"/>
        <w:jc w:val="center"/>
        <w:rPr>
          <w:sz w:val="22"/>
          <w:szCs w:val="22"/>
        </w:rPr>
      </w:pPr>
      <w:r w:rsidRPr="00AC77DB">
        <w:rPr>
          <w:sz w:val="22"/>
          <w:szCs w:val="22"/>
        </w:rPr>
        <w:t>Článek 8</w:t>
      </w:r>
    </w:p>
    <w:p w:rsidR="00D705D7" w:rsidRPr="00AC77DB" w:rsidRDefault="00D705D7" w:rsidP="000F0FC0">
      <w:pPr>
        <w:spacing w:after="0"/>
        <w:ind w:firstLine="0"/>
        <w:jc w:val="center"/>
        <w:rPr>
          <w:b/>
          <w:caps/>
          <w:lang w:val="cs-CZ"/>
        </w:rPr>
      </w:pPr>
      <w:r w:rsidRPr="00AC77DB">
        <w:rPr>
          <w:b/>
          <w:caps/>
          <w:lang w:val="cs-CZ"/>
        </w:rPr>
        <w:t>Předání a převzetí díla</w:t>
      </w:r>
    </w:p>
    <w:p w:rsidR="005E0DD6" w:rsidRPr="00AC77DB" w:rsidRDefault="00D705D7" w:rsidP="00C97B43">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AC77DB" w:rsidRDefault="00D705D7" w:rsidP="00C97B43">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AC77DB" w:rsidRDefault="00D705D7" w:rsidP="00C97B43">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 xml:space="preserve">a </w:t>
      </w:r>
      <w:r w:rsidR="00B745FD" w:rsidRPr="00AC77DB">
        <w:rPr>
          <w:rFonts w:asciiTheme="minorHAnsi" w:hAnsiTheme="minorHAnsi"/>
          <w:lang w:val="cs-CZ"/>
        </w:rPr>
        <w:lastRenderedPageBreak/>
        <w:t>doklady, které jsou nutné pro vydání vyjádření dotčených orgánů</w:t>
      </w:r>
      <w:r w:rsidRPr="00AC77DB">
        <w:rPr>
          <w:rFonts w:asciiTheme="minorHAnsi" w:hAnsiTheme="minorHAnsi"/>
          <w:lang w:val="cs-CZ"/>
        </w:rPr>
        <w:t>. Bez těchto dokladů nelze považovat dílo za dokončené a schopné předání.</w:t>
      </w:r>
    </w:p>
    <w:p w:rsidR="005E0DD6" w:rsidRPr="00AC77DB" w:rsidRDefault="00D705D7" w:rsidP="00C97B43">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AC77DB" w:rsidRDefault="00D705D7" w:rsidP="00C97B43">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AC77DB" w:rsidRDefault="00D705D7" w:rsidP="00C97B43">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AC77DB" w:rsidRDefault="00D705D7" w:rsidP="00C97B43">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Default="00D705D7" w:rsidP="00C97B43">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rsidR="00365A16" w:rsidRPr="00AC77DB" w:rsidRDefault="00365A16" w:rsidP="00365A16">
      <w:pPr>
        <w:spacing w:afterLines="60" w:after="144"/>
        <w:ind w:left="720" w:firstLine="0"/>
        <w:jc w:val="both"/>
        <w:rPr>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9</w:t>
      </w:r>
    </w:p>
    <w:p w:rsidR="00AC7CF8" w:rsidRPr="00AC77DB" w:rsidRDefault="00AC7CF8" w:rsidP="009E764D">
      <w:pPr>
        <w:spacing w:before="120" w:after="120"/>
        <w:ind w:left="850" w:hanging="425"/>
        <w:jc w:val="center"/>
        <w:rPr>
          <w:b/>
          <w:caps/>
          <w:lang w:val="cs-CZ"/>
        </w:rPr>
      </w:pPr>
      <w:r w:rsidRPr="00AC77DB">
        <w:rPr>
          <w:b/>
          <w:caps/>
          <w:lang w:val="cs-CZ"/>
        </w:rPr>
        <w:t>Jakost díla, záruka</w:t>
      </w:r>
    </w:p>
    <w:p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AC77DB" w:rsidRDefault="00AC7CF8" w:rsidP="00C97B43">
      <w:pPr>
        <w:numPr>
          <w:ilvl w:val="0"/>
          <w:numId w:val="12"/>
        </w:numPr>
        <w:ind w:left="714" w:hanging="357"/>
        <w:jc w:val="both"/>
        <w:rPr>
          <w:lang w:val="cs-CZ"/>
        </w:rPr>
      </w:pPr>
      <w:r w:rsidRPr="00AC77DB">
        <w:rPr>
          <w:lang w:val="cs-CZ"/>
        </w:rPr>
        <w:lastRenderedPageBreak/>
        <w:t>Ihned po odstranění vady je objednavatel povinen vydat zhotoviteli potvrzení, ke kterému dni byla vada odstraněna a jakým způsobem.</w:t>
      </w:r>
    </w:p>
    <w:p w:rsidR="00AC7CF8" w:rsidRPr="0074386E" w:rsidRDefault="00AC7CF8" w:rsidP="00C97B43">
      <w:pPr>
        <w:numPr>
          <w:ilvl w:val="0"/>
          <w:numId w:val="12"/>
        </w:numPr>
        <w:ind w:left="714" w:hanging="357"/>
        <w:jc w:val="both"/>
        <w:rPr>
          <w:lang w:val="cs-CZ"/>
        </w:rPr>
      </w:pPr>
      <w:r w:rsidRPr="00AC77DB">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w:t>
      </w:r>
      <w:r w:rsidRPr="0074386E">
        <w:rPr>
          <w:lang w:val="cs-CZ"/>
        </w:rPr>
        <w:t>si je vypořádá samostatně.</w:t>
      </w:r>
    </w:p>
    <w:p w:rsidR="007B06C2" w:rsidRPr="00653702" w:rsidRDefault="007B06C2" w:rsidP="007B06C2">
      <w:pPr>
        <w:numPr>
          <w:ilvl w:val="0"/>
          <w:numId w:val="12"/>
        </w:numPr>
        <w:ind w:left="714" w:hanging="357"/>
        <w:jc w:val="both"/>
        <w:rPr>
          <w:rFonts w:asciiTheme="majorHAnsi" w:hAnsiTheme="majorHAnsi" w:cs="Arial"/>
          <w:b/>
          <w:u w:val="single"/>
          <w:shd w:val="clear" w:color="auto" w:fill="FFFFFF"/>
          <w:lang w:val="cs-CZ" w:eastAsia="cs-CZ" w:bidi="ar-SA"/>
        </w:rPr>
      </w:pPr>
      <w:r w:rsidRPr="00653702">
        <w:rPr>
          <w:rFonts w:asciiTheme="majorHAnsi" w:hAnsiTheme="majorHAnsi" w:cs="Arial"/>
          <w:b/>
          <w:u w:val="single"/>
          <w:shd w:val="clear" w:color="auto" w:fill="FFFFFF"/>
          <w:lang w:val="cs-CZ" w:eastAsia="cs-CZ" w:bidi="ar-SA"/>
        </w:rPr>
        <w:t>Bankovní záruka</w:t>
      </w:r>
    </w:p>
    <w:p w:rsidR="00653702" w:rsidRPr="009F211F" w:rsidRDefault="00653702" w:rsidP="00653702">
      <w:pPr>
        <w:pStyle w:val="Bezmezer"/>
        <w:widowControl w:val="0"/>
        <w:numPr>
          <w:ilvl w:val="0"/>
          <w:numId w:val="46"/>
        </w:numPr>
        <w:spacing w:after="0"/>
        <w:contextualSpacing w:val="0"/>
        <w:jc w:val="both"/>
        <w:rPr>
          <w:lang w:val="cs-CZ"/>
        </w:rPr>
      </w:pPr>
      <w:r w:rsidRPr="009F211F">
        <w:rPr>
          <w:iCs/>
          <w:lang w:val="cs-CZ"/>
        </w:rPr>
        <w:t xml:space="preserve">Objednatel požaduje poskytnutí bankovní záruky ze strany zhotovitele </w:t>
      </w:r>
      <w:r w:rsidRPr="009F211F">
        <w:rPr>
          <w:lang w:val="cs-CZ"/>
        </w:rPr>
        <w:t>za provedení předmětu plnění veřejné zakázky ve výši</w:t>
      </w:r>
      <w:r w:rsidR="009F211F" w:rsidRPr="009F211F">
        <w:rPr>
          <w:b/>
          <w:lang w:val="cs-CZ"/>
        </w:rPr>
        <w:t xml:space="preserve"> 5</w:t>
      </w:r>
      <w:r w:rsidRPr="009F211F">
        <w:rPr>
          <w:b/>
          <w:lang w:val="cs-CZ"/>
        </w:rPr>
        <w:t xml:space="preserve">00.000,- Kč </w:t>
      </w:r>
      <w:r w:rsidRPr="009F211F">
        <w:rPr>
          <w:lang w:val="cs-CZ"/>
        </w:rPr>
        <w:t>(slovy</w:t>
      </w:r>
      <w:r w:rsidR="009F211F" w:rsidRPr="009F211F">
        <w:rPr>
          <w:lang w:val="cs-CZ"/>
        </w:rPr>
        <w:t>:</w:t>
      </w:r>
      <w:r w:rsidRPr="009F211F">
        <w:rPr>
          <w:lang w:val="cs-CZ"/>
        </w:rPr>
        <w:t xml:space="preserve"> </w:t>
      </w:r>
      <w:r w:rsidR="009F211F" w:rsidRPr="009F211F">
        <w:rPr>
          <w:lang w:val="cs-CZ"/>
        </w:rPr>
        <w:t xml:space="preserve">pět set </w:t>
      </w:r>
      <w:r w:rsidRPr="009F211F">
        <w:rPr>
          <w:lang w:val="cs-CZ"/>
        </w:rPr>
        <w:t xml:space="preserve">tisíc korun českých), a to zejména za dodržení všech smluvních podmínek, termínů plnění veřejné zakázky, sankčních ustanovení a za řádné odstranění vad uplatňovaných objednatelem vůči zhotoviteli z titulu odpovědnosti za vady v záruční době. </w:t>
      </w:r>
    </w:p>
    <w:p w:rsidR="00653702" w:rsidRPr="009F211F" w:rsidRDefault="00653702" w:rsidP="00653702">
      <w:pPr>
        <w:pStyle w:val="Bezmezer"/>
        <w:widowControl w:val="0"/>
        <w:numPr>
          <w:ilvl w:val="0"/>
          <w:numId w:val="46"/>
        </w:numPr>
        <w:spacing w:after="0"/>
        <w:contextualSpacing w:val="0"/>
        <w:jc w:val="both"/>
        <w:rPr>
          <w:lang w:val="cs-CZ"/>
        </w:rPr>
      </w:pPr>
      <w:r w:rsidRPr="009F211F">
        <w:rPr>
          <w:lang w:val="cs-CZ"/>
        </w:rPr>
        <w:t xml:space="preserve">Bankovní záruku doloží vybraný zhotovitel objednateli originálem záruční listiny vystavené bankou, která byla zřízena a provozuje činnost podle zákona č. 21/1992 Sb., o bankách, ve znění pozdějších předpisů, ve prospěch objednatele jako oprávněného. Kopie záruční listiny je přílohou č. 4 této smlouvy. Bankovní záruka musí být vystavena jako neodvolatelná a bezpodmínečná, přičemž banka se zaváže k plnění bez námitek a na základě první výzvy oprávněného. </w:t>
      </w:r>
    </w:p>
    <w:p w:rsidR="00653702" w:rsidRPr="009F211F" w:rsidRDefault="00653702" w:rsidP="00653702">
      <w:pPr>
        <w:pStyle w:val="Bezmezer"/>
        <w:widowControl w:val="0"/>
        <w:numPr>
          <w:ilvl w:val="0"/>
          <w:numId w:val="46"/>
        </w:numPr>
        <w:spacing w:after="0"/>
        <w:contextualSpacing w:val="0"/>
        <w:jc w:val="both"/>
        <w:rPr>
          <w:lang w:val="cs-CZ"/>
        </w:rPr>
      </w:pPr>
      <w:r w:rsidRPr="009F211F">
        <w:rPr>
          <w:lang w:val="cs-CZ"/>
        </w:rPr>
        <w:t>Bankovní záruka musí splňovat tyto podmínky:</w:t>
      </w:r>
    </w:p>
    <w:p w:rsidR="00653702" w:rsidRPr="009F211F" w:rsidRDefault="00653702" w:rsidP="00653702">
      <w:pPr>
        <w:pStyle w:val="Bezmezer"/>
        <w:widowControl w:val="0"/>
        <w:numPr>
          <w:ilvl w:val="0"/>
          <w:numId w:val="45"/>
        </w:numPr>
        <w:spacing w:after="0"/>
        <w:ind w:left="1134" w:hanging="283"/>
        <w:contextualSpacing w:val="0"/>
        <w:jc w:val="both"/>
        <w:rPr>
          <w:lang w:val="cs-CZ"/>
        </w:rPr>
      </w:pPr>
      <w:r w:rsidRPr="009F211F">
        <w:rPr>
          <w:lang w:val="cs-CZ"/>
        </w:rPr>
        <w:t xml:space="preserve">výše zajištěné částky je </w:t>
      </w:r>
      <w:r w:rsidR="009F211F">
        <w:rPr>
          <w:lang w:val="cs-CZ"/>
        </w:rPr>
        <w:t>5</w:t>
      </w:r>
      <w:r w:rsidR="00983E9A" w:rsidRPr="009F211F">
        <w:rPr>
          <w:lang w:val="cs-CZ"/>
        </w:rPr>
        <w:t>0</w:t>
      </w:r>
      <w:r w:rsidRPr="009F211F">
        <w:rPr>
          <w:lang w:val="cs-CZ"/>
        </w:rPr>
        <w:t>0.000,- Kč,</w:t>
      </w:r>
    </w:p>
    <w:p w:rsidR="00653702" w:rsidRPr="009F211F" w:rsidRDefault="00653702" w:rsidP="00653702">
      <w:pPr>
        <w:pStyle w:val="Bezmezer"/>
        <w:widowControl w:val="0"/>
        <w:numPr>
          <w:ilvl w:val="0"/>
          <w:numId w:val="45"/>
        </w:numPr>
        <w:spacing w:after="0"/>
        <w:ind w:left="1134" w:hanging="283"/>
        <w:contextualSpacing w:val="0"/>
        <w:jc w:val="both"/>
        <w:rPr>
          <w:lang w:val="cs-CZ"/>
        </w:rPr>
      </w:pPr>
      <w:r w:rsidRPr="009F211F">
        <w:rPr>
          <w:lang w:val="cs-CZ"/>
        </w:rPr>
        <w:t>záruční listinu předá zhotovitel objednateli nejpozději v den předcházející dni podpisu smlouvy,</w:t>
      </w:r>
    </w:p>
    <w:p w:rsidR="00653702" w:rsidRPr="009F211F" w:rsidRDefault="00653702" w:rsidP="00653702">
      <w:pPr>
        <w:pStyle w:val="Bezmezer"/>
        <w:widowControl w:val="0"/>
        <w:numPr>
          <w:ilvl w:val="0"/>
          <w:numId w:val="45"/>
        </w:numPr>
        <w:spacing w:after="0"/>
        <w:ind w:left="1134" w:hanging="283"/>
        <w:contextualSpacing w:val="0"/>
        <w:jc w:val="both"/>
        <w:rPr>
          <w:lang w:val="cs-CZ"/>
        </w:rPr>
      </w:pPr>
      <w:r w:rsidRPr="009F211F">
        <w:rPr>
          <w:lang w:val="cs-CZ"/>
        </w:rPr>
        <w:t>bankovní záruka bude platná nejméně po dobu provedení díla stanovenou ve smlouvě a dobu běhu záručních dob,</w:t>
      </w:r>
    </w:p>
    <w:p w:rsidR="00653702" w:rsidRPr="009F211F" w:rsidRDefault="00653702" w:rsidP="00653702">
      <w:pPr>
        <w:pStyle w:val="Bezmezer"/>
        <w:widowControl w:val="0"/>
        <w:numPr>
          <w:ilvl w:val="0"/>
          <w:numId w:val="45"/>
        </w:numPr>
        <w:spacing w:after="0"/>
        <w:ind w:left="1134" w:hanging="283"/>
        <w:contextualSpacing w:val="0"/>
        <w:jc w:val="both"/>
        <w:rPr>
          <w:lang w:val="cs-CZ"/>
        </w:rPr>
      </w:pPr>
      <w:r w:rsidRPr="009F211F">
        <w:rPr>
          <w:lang w:val="cs-CZ"/>
        </w:rPr>
        <w:t>právo z bankovní záruky bude Objednatel oprávněn uplatnit v případech, že Zhotovitel neprovádí dílo v souladu s podmínkami uzavřené smlouvy nebo neuhradí objednateli způsobenou škodu či smluvní pokutu, k níž je podle smlouvy povinen, neodstraní vadu díla způsobem a v době, k nimž je podle příslušných ustanovení smlouvy o odstraňování vad v záruční době povinen.</w:t>
      </w:r>
    </w:p>
    <w:p w:rsidR="00653702" w:rsidRPr="009F211F" w:rsidRDefault="00653702" w:rsidP="00653702">
      <w:pPr>
        <w:pStyle w:val="Bezmezer"/>
        <w:widowControl w:val="0"/>
        <w:numPr>
          <w:ilvl w:val="0"/>
          <w:numId w:val="46"/>
        </w:numPr>
        <w:spacing w:after="0"/>
        <w:contextualSpacing w:val="0"/>
        <w:jc w:val="both"/>
        <w:rPr>
          <w:lang w:val="cs-CZ"/>
        </w:rPr>
      </w:pPr>
      <w:r w:rsidRPr="009F211F">
        <w:rPr>
          <w:lang w:val="cs-CZ"/>
        </w:rPr>
        <w:t xml:space="preserve">Objednatel je oprávněn využít prostředků zajištěných bankovní zárukou ve výši, která odpovídá výši splatné smluvní pokuty, jakéhokoli neuspokojeného závazku zhotovitele vůči objednateli, nákladů nezbytných k odstranění vad díla, škod způsobených plněním zhotovitele v rozporu se smlouvou, nebo jakékoli částce, která podle mínění objednatele odpovídá náhradě vadného plnění zhotovitele. </w:t>
      </w:r>
    </w:p>
    <w:p w:rsidR="00653702" w:rsidRPr="009F211F" w:rsidRDefault="00653702" w:rsidP="00653702">
      <w:pPr>
        <w:pStyle w:val="Bezmezer"/>
        <w:widowControl w:val="0"/>
        <w:numPr>
          <w:ilvl w:val="0"/>
          <w:numId w:val="46"/>
        </w:numPr>
        <w:spacing w:after="0"/>
        <w:contextualSpacing w:val="0"/>
        <w:jc w:val="both"/>
        <w:rPr>
          <w:lang w:val="cs-CZ"/>
        </w:rPr>
      </w:pPr>
      <w:r w:rsidRPr="009F211F">
        <w:rPr>
          <w:lang w:val="cs-CZ"/>
        </w:rPr>
        <w:t>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7 kalendářních dnů od každého uplatnění práva ze záruky objednatelem.</w:t>
      </w:r>
    </w:p>
    <w:p w:rsidR="00653702" w:rsidRPr="009F211F" w:rsidRDefault="00653702" w:rsidP="00653702">
      <w:pPr>
        <w:pStyle w:val="Bezmezer"/>
        <w:widowControl w:val="0"/>
        <w:numPr>
          <w:ilvl w:val="0"/>
          <w:numId w:val="46"/>
        </w:numPr>
        <w:spacing w:after="0"/>
        <w:contextualSpacing w:val="0"/>
        <w:jc w:val="both"/>
        <w:rPr>
          <w:lang w:val="cs-CZ"/>
        </w:rPr>
      </w:pPr>
      <w:r w:rsidRPr="009F211F">
        <w:rPr>
          <w:lang w:val="cs-CZ"/>
        </w:rPr>
        <w:t>V případě jakékoli změny doby provedení díla je Zhotovitel povinen platnost záruky prodloužit tak, aby trvala po celou dobu provedení díla a záručních dob díla. V takovém případě se zhotovitel zavazuje předložit objednateli doklad o prodloužení odpovídající bankovní záruky nejpozději do 7 kalendářních dnů ode dne uskutečnění příslušné změny.</w:t>
      </w:r>
    </w:p>
    <w:p w:rsidR="00653702" w:rsidRPr="009F211F" w:rsidRDefault="00653702" w:rsidP="00653702">
      <w:pPr>
        <w:pStyle w:val="Bezmezer"/>
        <w:widowControl w:val="0"/>
        <w:numPr>
          <w:ilvl w:val="0"/>
          <w:numId w:val="46"/>
        </w:numPr>
        <w:spacing w:after="0"/>
        <w:contextualSpacing w:val="0"/>
        <w:jc w:val="both"/>
        <w:rPr>
          <w:lang w:val="cs-CZ"/>
        </w:rPr>
      </w:pPr>
      <w:r w:rsidRPr="009F211F">
        <w:rPr>
          <w:iCs/>
          <w:lang w:val="cs-CZ"/>
        </w:rPr>
        <w:t>Bankovní záruka bude uvolněna nejpozději po uplynutí nejdelší záruční doby, a to na základě písemné žádosti zhotovitele.</w:t>
      </w:r>
    </w:p>
    <w:p w:rsidR="00782953" w:rsidRPr="00AC77DB" w:rsidRDefault="00782953" w:rsidP="00782953">
      <w:pPr>
        <w:jc w:val="both"/>
        <w:rPr>
          <w:lang w:val="cs-CZ"/>
        </w:rPr>
      </w:pPr>
    </w:p>
    <w:p w:rsidR="00ED3010" w:rsidRPr="00AC77DB" w:rsidRDefault="00EF7463" w:rsidP="00EF7463">
      <w:pPr>
        <w:pStyle w:val="Nadpis1"/>
        <w:spacing w:before="240"/>
        <w:ind w:left="4253" w:hanging="3827"/>
        <w:jc w:val="center"/>
        <w:rPr>
          <w:b w:val="0"/>
        </w:rPr>
      </w:pPr>
      <w:r w:rsidRPr="00AC77DB">
        <w:rPr>
          <w:sz w:val="22"/>
          <w:szCs w:val="22"/>
        </w:rPr>
        <w:t>Článek 10</w:t>
      </w:r>
    </w:p>
    <w:p w:rsidR="00ED3010" w:rsidRPr="00AC77DB" w:rsidRDefault="00ED3010" w:rsidP="009E764D">
      <w:pPr>
        <w:spacing w:before="120" w:after="120"/>
        <w:ind w:left="850" w:hanging="425"/>
        <w:jc w:val="center"/>
        <w:rPr>
          <w:b/>
          <w:caps/>
          <w:lang w:val="cs-CZ"/>
        </w:rPr>
      </w:pPr>
      <w:r w:rsidRPr="00AC77DB">
        <w:rPr>
          <w:b/>
          <w:caps/>
          <w:lang w:val="cs-CZ"/>
        </w:rPr>
        <w:t>Smluvní pokuty</w:t>
      </w:r>
    </w:p>
    <w:p w:rsidR="00ED3010" w:rsidRPr="00AC77DB" w:rsidRDefault="00ED3010" w:rsidP="00306955">
      <w:pPr>
        <w:ind w:firstLine="360"/>
        <w:jc w:val="both"/>
        <w:rPr>
          <w:lang w:val="cs-CZ"/>
        </w:rPr>
      </w:pPr>
      <w:r w:rsidRPr="00AC77DB">
        <w:rPr>
          <w:lang w:val="cs-CZ"/>
        </w:rPr>
        <w:t>Smluvní strany se dohodly na následujících smluvních pokutách:</w:t>
      </w:r>
    </w:p>
    <w:p w:rsidR="00D705D7" w:rsidRPr="00AC77DB" w:rsidRDefault="00D705D7" w:rsidP="00C97B43">
      <w:pPr>
        <w:numPr>
          <w:ilvl w:val="0"/>
          <w:numId w:val="13"/>
        </w:numPr>
        <w:spacing w:after="0"/>
        <w:jc w:val="both"/>
        <w:rPr>
          <w:lang w:val="cs-CZ"/>
        </w:rPr>
      </w:pPr>
      <w:r w:rsidRPr="00AC77DB">
        <w:rPr>
          <w:lang w:val="cs-CZ"/>
        </w:rPr>
        <w:lastRenderedPageBreak/>
        <w:t xml:space="preserve">Při </w:t>
      </w:r>
      <w:r w:rsidRPr="00AC77DB">
        <w:rPr>
          <w:b/>
          <w:u w:val="single"/>
          <w:lang w:val="cs-CZ"/>
        </w:rPr>
        <w:t>prodlení s termínem zahájení prací</w:t>
      </w:r>
      <w:r w:rsidRPr="00AC77DB">
        <w:rPr>
          <w:b/>
          <w:lang w:val="cs-CZ"/>
        </w:rPr>
        <w:t xml:space="preserve"> </w:t>
      </w:r>
      <w:r w:rsidRPr="00AC77DB">
        <w:rPr>
          <w:lang w:val="cs-CZ"/>
        </w:rPr>
        <w:t xml:space="preserve"> je objednatel oprávněn účtovat zhotoviteli smluvní pokutu ve výši </w:t>
      </w:r>
      <w:r w:rsidR="00085A90" w:rsidRPr="00AC77DB">
        <w:rPr>
          <w:lang w:val="cs-CZ"/>
        </w:rPr>
        <w:t>5.</w:t>
      </w:r>
      <w:r w:rsidRPr="00AC77DB">
        <w:rPr>
          <w:lang w:val="cs-CZ"/>
        </w:rPr>
        <w:t>000,- Kč  bez DPH za každý započatý den.</w:t>
      </w:r>
    </w:p>
    <w:p w:rsidR="00ED3010"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w:t>
      </w:r>
      <w:r w:rsidR="00D705D7" w:rsidRPr="00AC77DB">
        <w:rPr>
          <w:b/>
          <w:u w:val="single"/>
          <w:lang w:val="cs-CZ"/>
        </w:rPr>
        <w:t xml:space="preserve">ukončení a </w:t>
      </w:r>
      <w:r w:rsidRPr="00AC77DB">
        <w:rPr>
          <w:b/>
          <w:u w:val="single"/>
          <w:lang w:val="cs-CZ"/>
        </w:rPr>
        <w:t>předání díla</w:t>
      </w:r>
      <w:r w:rsidRPr="00AC77DB">
        <w:rPr>
          <w:lang w:val="cs-CZ"/>
        </w:rPr>
        <w:t xml:space="preserve"> je objednatel oprávněn účtovat zhotoviteli smluvní pokutu </w:t>
      </w:r>
      <w:r w:rsidR="00D72D7A" w:rsidRPr="00AC77DB">
        <w:rPr>
          <w:lang w:val="cs-CZ"/>
        </w:rPr>
        <w:t>ve výši</w:t>
      </w:r>
      <w:r w:rsidR="004905D4" w:rsidRPr="00AC77DB">
        <w:rPr>
          <w:lang w:val="cs-CZ"/>
        </w:rPr>
        <w:t xml:space="preserve"> </w:t>
      </w:r>
      <w:r w:rsidR="009F211F">
        <w:rPr>
          <w:lang w:val="cs-CZ"/>
        </w:rPr>
        <w:t>30</w:t>
      </w:r>
      <w:r w:rsidR="00296C68" w:rsidRPr="00AC77DB">
        <w:rPr>
          <w:lang w:val="cs-CZ"/>
        </w:rPr>
        <w:t>0</w:t>
      </w:r>
      <w:r w:rsidR="00085A90" w:rsidRPr="00AC77DB">
        <w:rPr>
          <w:lang w:val="cs-CZ"/>
        </w:rPr>
        <w:t xml:space="preserve">.000,- Kč bez DPH za 1. den prodlení a dále </w:t>
      </w:r>
      <w:r w:rsidR="00AD4587" w:rsidRPr="00AC77DB">
        <w:rPr>
          <w:lang w:val="cs-CZ"/>
        </w:rPr>
        <w:t>5</w:t>
      </w:r>
      <w:r w:rsidR="00D72D7A" w:rsidRPr="00AC77DB">
        <w:rPr>
          <w:lang w:val="cs-CZ"/>
        </w:rPr>
        <w:t>0</w:t>
      </w:r>
      <w:r w:rsidR="00085A90" w:rsidRPr="00AC77DB">
        <w:rPr>
          <w:lang w:val="cs-CZ"/>
        </w:rPr>
        <w:t>.</w:t>
      </w:r>
      <w:r w:rsidR="00AD4587" w:rsidRPr="00AC77DB">
        <w:rPr>
          <w:lang w:val="cs-CZ"/>
        </w:rPr>
        <w:t xml:space="preserve">000,- Kč </w:t>
      </w:r>
      <w:r w:rsidR="00D72D7A" w:rsidRPr="00AC77DB">
        <w:rPr>
          <w:lang w:val="cs-CZ"/>
        </w:rPr>
        <w:t xml:space="preserve">bez DPH za každý </w:t>
      </w:r>
      <w:r w:rsidR="00085A90" w:rsidRPr="00AC77DB">
        <w:rPr>
          <w:lang w:val="cs-CZ"/>
        </w:rPr>
        <w:t xml:space="preserve">další </w:t>
      </w:r>
      <w:r w:rsidR="00D72D7A" w:rsidRPr="00AC77DB">
        <w:rPr>
          <w:lang w:val="cs-CZ"/>
        </w:rPr>
        <w:t xml:space="preserve">den </w:t>
      </w:r>
      <w:r w:rsidR="00BF37C2" w:rsidRPr="00AC77DB">
        <w:rPr>
          <w:lang w:val="cs-CZ"/>
        </w:rPr>
        <w:t>prodlení až</w:t>
      </w:r>
      <w:r w:rsidRPr="00AC77DB">
        <w:rPr>
          <w:lang w:val="cs-CZ"/>
        </w:rPr>
        <w:t xml:space="preserve"> do dne úspěšného předání a převzetí díla</w:t>
      </w:r>
      <w:r w:rsidR="00422393" w:rsidRPr="00AC77DB">
        <w:rPr>
          <w:lang w:val="cs-CZ"/>
        </w:rPr>
        <w:t xml:space="preserve"> dle Článku </w:t>
      </w:r>
      <w:r w:rsidR="00C97B43" w:rsidRPr="00AC77DB">
        <w:rPr>
          <w:lang w:val="cs-CZ"/>
        </w:rPr>
        <w:t>8</w:t>
      </w:r>
      <w:r w:rsidR="00CD6A64" w:rsidRPr="00AC77DB">
        <w:rPr>
          <w:lang w:val="cs-CZ"/>
        </w:rPr>
        <w:t xml:space="preserve"> této smlouvy.</w:t>
      </w:r>
    </w:p>
    <w:p w:rsidR="00ED3010"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zhotoviteli smluvní pokutu ve výši </w:t>
      </w:r>
      <w:r w:rsidR="00085A90" w:rsidRPr="00AC77DB">
        <w:rPr>
          <w:lang w:val="cs-CZ"/>
        </w:rPr>
        <w:t>5.</w:t>
      </w:r>
      <w:r w:rsidR="004F3A1C" w:rsidRPr="00AC77DB">
        <w:rPr>
          <w:lang w:val="cs-CZ"/>
        </w:rPr>
        <w:t>0</w:t>
      </w:r>
      <w:r w:rsidR="00306955" w:rsidRPr="00AC77DB">
        <w:rPr>
          <w:lang w:val="cs-CZ"/>
        </w:rPr>
        <w:t>00</w:t>
      </w:r>
      <w:r w:rsidRPr="00AC77DB">
        <w:rPr>
          <w:lang w:val="cs-CZ"/>
        </w:rPr>
        <w:t>,- bez DPH za každý den prodlení až do dne jejich odstranění včetně.</w:t>
      </w:r>
    </w:p>
    <w:p w:rsidR="00D705D7" w:rsidRPr="00AC77DB" w:rsidRDefault="00D705D7" w:rsidP="00C97B43">
      <w:pPr>
        <w:numPr>
          <w:ilvl w:val="0"/>
          <w:numId w:val="13"/>
        </w:numPr>
        <w:spacing w:after="0"/>
        <w:jc w:val="both"/>
        <w:rPr>
          <w:lang w:val="cs-CZ"/>
        </w:rPr>
      </w:pPr>
      <w:r w:rsidRPr="00AC77DB">
        <w:rPr>
          <w:lang w:val="cs-CZ"/>
        </w:rPr>
        <w:t xml:space="preserve">Při </w:t>
      </w:r>
      <w:r w:rsidRPr="00AC77DB">
        <w:rPr>
          <w:b/>
          <w:u w:val="single"/>
          <w:lang w:val="cs-CZ"/>
        </w:rPr>
        <w:t>prodlení s vyklizením staveniště</w:t>
      </w:r>
      <w:r w:rsidRPr="00AC77DB">
        <w:rPr>
          <w:lang w:val="cs-CZ"/>
        </w:rPr>
        <w:t xml:space="preserve"> je objednatel oprávněn účtovat zhotoviteli smluvní pokutu ve výši </w:t>
      </w:r>
      <w:r w:rsidR="00085A90" w:rsidRPr="00AC77DB">
        <w:rPr>
          <w:lang w:val="cs-CZ"/>
        </w:rPr>
        <w:t>3.</w:t>
      </w:r>
      <w:r w:rsidRPr="00AC77DB">
        <w:rPr>
          <w:lang w:val="cs-CZ"/>
        </w:rPr>
        <w:t xml:space="preserve">000,- Kč bez DPH za každý den prodlení až do úplného vyklizení staveniště dle této smlouvy. </w:t>
      </w:r>
    </w:p>
    <w:p w:rsidR="00127586" w:rsidRPr="00AC77DB"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Pr="00AC77DB">
        <w:rPr>
          <w:rFonts w:asciiTheme="minorHAnsi" w:hAnsiTheme="minorHAnsi" w:cs="Arial"/>
          <w:b/>
          <w:color w:val="000000"/>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je objednatel oprávněn účtovat zhot</w:t>
      </w:r>
      <w:r w:rsidR="001D02F7" w:rsidRPr="00AC77DB">
        <w:rPr>
          <w:rFonts w:asciiTheme="minorHAnsi" w:hAnsiTheme="minorHAnsi" w:cs="Arial"/>
          <w:color w:val="000000"/>
          <w:shd w:val="clear" w:color="auto" w:fill="FFFFFF"/>
          <w:lang w:val="cs-CZ" w:eastAsia="cs-CZ" w:bidi="ar-SA"/>
        </w:rPr>
        <w:t>oviteli smluvní pokutu ve výši 20</w:t>
      </w:r>
      <w:r w:rsidR="00B33F54" w:rsidRPr="00AC77DB">
        <w:rPr>
          <w:rFonts w:asciiTheme="minorHAnsi" w:hAnsiTheme="minorHAnsi" w:cs="Arial"/>
          <w:color w:val="000000"/>
          <w:shd w:val="clear" w:color="auto" w:fill="FFFFFF"/>
          <w:lang w:val="cs-CZ" w:eastAsia="cs-CZ" w:bidi="ar-SA"/>
        </w:rPr>
        <w:t>.</w:t>
      </w:r>
      <w:r w:rsidR="009C49F2">
        <w:rPr>
          <w:rFonts w:asciiTheme="minorHAnsi" w:hAnsiTheme="minorHAnsi" w:cs="Arial"/>
          <w:color w:val="000000"/>
          <w:shd w:val="clear" w:color="auto" w:fill="FFFFFF"/>
          <w:lang w:val="cs-CZ" w:eastAsia="cs-CZ" w:bidi="ar-SA"/>
        </w:rPr>
        <w:t xml:space="preserve">000,-Kč bez DPH </w:t>
      </w:r>
      <w:r w:rsidRPr="00AC77DB">
        <w:rPr>
          <w:rFonts w:asciiTheme="minorHAnsi" w:hAnsiTheme="minorHAnsi" w:cs="Arial"/>
          <w:color w:val="000000"/>
          <w:shd w:val="clear" w:color="auto" w:fill="FFFFFF"/>
          <w:lang w:val="cs-CZ" w:eastAsia="cs-CZ" w:bidi="ar-SA"/>
        </w:rPr>
        <w:t>za každý takový případ porušení zjištěný koordinátorem BOZP a uvedený v zápisu Z kontrolního dne koordinátora BOZP.</w:t>
      </w:r>
    </w:p>
    <w:p w:rsidR="00C275D1"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prodlení objednatele s platbou faktur</w:t>
      </w:r>
      <w:r w:rsidRPr="00AC77DB">
        <w:rPr>
          <w:lang w:val="cs-CZ"/>
        </w:rPr>
        <w:t xml:space="preserve"> je zhotovitel oprávněn účtovat objednateli úrok z prodlení ve výši 0,</w:t>
      </w:r>
      <w:r w:rsidR="00085A90" w:rsidRPr="00AC77DB">
        <w:rPr>
          <w:lang w:val="cs-CZ"/>
        </w:rPr>
        <w:t>25</w:t>
      </w:r>
      <w:r w:rsidRPr="00AC77DB">
        <w:rPr>
          <w:lang w:val="cs-CZ"/>
        </w:rPr>
        <w:t>% z </w:t>
      </w:r>
      <w:r w:rsidR="005D5DF8" w:rsidRPr="00AC77DB">
        <w:rPr>
          <w:lang w:val="cs-CZ"/>
        </w:rPr>
        <w:t>dlužné</w:t>
      </w:r>
      <w:r w:rsidRPr="00AC77DB">
        <w:rPr>
          <w:lang w:val="cs-CZ"/>
        </w:rPr>
        <w:t xml:space="preserve"> částky bez DPH za každý den zpoždění.</w:t>
      </w:r>
    </w:p>
    <w:p w:rsidR="00D705D7" w:rsidRPr="00AC77DB" w:rsidRDefault="00D705D7" w:rsidP="00C97B43">
      <w:pPr>
        <w:numPr>
          <w:ilvl w:val="0"/>
          <w:numId w:val="13"/>
        </w:numPr>
        <w:spacing w:after="0"/>
        <w:jc w:val="both"/>
        <w:rPr>
          <w:lang w:val="cs-CZ"/>
        </w:rPr>
      </w:pPr>
      <w:r w:rsidRPr="00AC77DB">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BD5AE0" w:rsidRPr="00AC77DB" w:rsidRDefault="00BD5AE0" w:rsidP="00C97B43">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D5AE0" w:rsidRPr="00AC77DB" w:rsidRDefault="00BD5AE0" w:rsidP="00C97B43">
      <w:pPr>
        <w:widowControl w:val="0"/>
        <w:numPr>
          <w:ilvl w:val="0"/>
          <w:numId w:val="13"/>
        </w:numPr>
        <w:spacing w:after="0"/>
        <w:jc w:val="both"/>
        <w:rPr>
          <w:lang w:val="cs-CZ"/>
        </w:rPr>
      </w:pPr>
      <w:r w:rsidRPr="00AC77DB">
        <w:rPr>
          <w:lang w:val="cs-CZ"/>
        </w:rPr>
        <w:t>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w:t>
      </w:r>
      <w:r w:rsidR="00CF72A3">
        <w:rPr>
          <w:lang w:val="cs-CZ"/>
        </w:rPr>
        <w:t xml:space="preserve"> </w:t>
      </w:r>
    </w:p>
    <w:p w:rsidR="00D705D7" w:rsidRPr="00AC77DB" w:rsidRDefault="00D705D7" w:rsidP="00C97B43">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365A16" w:rsidRDefault="00365A16" w:rsidP="00BD5AE0">
      <w:pPr>
        <w:spacing w:after="0"/>
        <w:ind w:firstLine="0"/>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11</w:t>
      </w:r>
    </w:p>
    <w:p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rsidR="00F31E77" w:rsidRPr="00206B35" w:rsidRDefault="006D2F3A" w:rsidP="00C97B43">
      <w:pPr>
        <w:numPr>
          <w:ilvl w:val="0"/>
          <w:numId w:val="14"/>
        </w:numPr>
        <w:spacing w:after="0"/>
        <w:jc w:val="both"/>
        <w:rPr>
          <w:lang w:val="cs-CZ"/>
        </w:rPr>
      </w:pPr>
      <w:r w:rsidRPr="00206B35">
        <w:rPr>
          <w:lang w:val="cs-CZ"/>
        </w:rPr>
        <w:t>Objednatel si vyhrazuje právo na jednostranné ukončení smluvního vztahu v případě, že</w:t>
      </w:r>
      <w:r w:rsidR="00F31E77" w:rsidRPr="00206B35">
        <w:rPr>
          <w:lang w:val="cs-CZ"/>
        </w:rPr>
        <w:t>:</w:t>
      </w:r>
    </w:p>
    <w:p w:rsidR="00206B35" w:rsidRPr="00206B35" w:rsidRDefault="00206B35" w:rsidP="00206B35">
      <w:pPr>
        <w:pStyle w:val="Odstavecseseznamem"/>
        <w:numPr>
          <w:ilvl w:val="0"/>
          <w:numId w:val="29"/>
        </w:numPr>
        <w:spacing w:after="0"/>
        <w:ind w:left="993" w:hanging="284"/>
        <w:jc w:val="both"/>
        <w:rPr>
          <w:rFonts w:asciiTheme="minorHAnsi" w:hAnsiTheme="minorHAnsi"/>
          <w:u w:val="single"/>
          <w:lang w:val="cs-CZ"/>
        </w:rPr>
      </w:pPr>
      <w:r w:rsidRPr="00206B35">
        <w:rPr>
          <w:rFonts w:asciiTheme="minorHAnsi" w:hAnsiTheme="minorHAnsi"/>
          <w:u w:val="single"/>
          <w:lang w:val="cs-CZ"/>
        </w:rPr>
        <w:t>nedojde k podpisu Smlouvy o poskytnutí dotace na předmět plnění mezi objednatelem a poskytovatelem dotace (</w:t>
      </w:r>
      <w:r w:rsidRPr="00206B35">
        <w:rPr>
          <w:rFonts w:asciiTheme="minorHAnsi" w:hAnsiTheme="minorHAnsi"/>
          <w:color w:val="000000"/>
          <w:u w:val="single"/>
          <w:lang w:val="cs-CZ"/>
        </w:rPr>
        <w:t xml:space="preserve">Regionální radou regionu soudržnosti Severozápad, Mírové náměstí 3097/34, Ústí nad Labem), </w:t>
      </w:r>
    </w:p>
    <w:p w:rsidR="006D2F3A" w:rsidRPr="00206B35" w:rsidRDefault="00F31E77" w:rsidP="00F31E77">
      <w:pPr>
        <w:pStyle w:val="Odstavecseseznamem"/>
        <w:numPr>
          <w:ilvl w:val="0"/>
          <w:numId w:val="29"/>
        </w:numPr>
        <w:spacing w:after="0"/>
        <w:ind w:left="993" w:hanging="284"/>
        <w:jc w:val="both"/>
        <w:rPr>
          <w:lang w:val="cs-CZ"/>
        </w:rPr>
      </w:pPr>
      <w:r w:rsidRPr="00206B35">
        <w:rPr>
          <w:lang w:val="cs-CZ"/>
        </w:rPr>
        <w:t xml:space="preserve">zhotovitel pozbyde základních, profesních a technických </w:t>
      </w:r>
      <w:r w:rsidR="00F33671" w:rsidRPr="00206B35">
        <w:rPr>
          <w:lang w:val="cs-CZ"/>
        </w:rPr>
        <w:t xml:space="preserve">kvalifikačních předpokladů </w:t>
      </w:r>
      <w:r w:rsidR="00DA326B" w:rsidRPr="00206B35">
        <w:rPr>
          <w:lang w:val="cs-CZ"/>
        </w:rPr>
        <w:t>pro plnění veřejné zakázky.</w:t>
      </w:r>
    </w:p>
    <w:p w:rsidR="000F0FC0" w:rsidRDefault="000F0FC0" w:rsidP="000F0FC0">
      <w:pPr>
        <w:spacing w:after="0"/>
        <w:ind w:left="720" w:firstLine="0"/>
        <w:jc w:val="both"/>
        <w:rPr>
          <w:lang w:val="cs-CZ"/>
        </w:rPr>
      </w:pPr>
    </w:p>
    <w:p w:rsidR="001D7DD0" w:rsidRDefault="001D7DD0" w:rsidP="000F0FC0">
      <w:pPr>
        <w:spacing w:after="0"/>
        <w:ind w:left="720" w:firstLine="0"/>
        <w:jc w:val="both"/>
        <w:rPr>
          <w:lang w:val="cs-CZ"/>
        </w:rPr>
      </w:pPr>
    </w:p>
    <w:p w:rsidR="001D7DD0" w:rsidRPr="00AC77DB" w:rsidRDefault="001D7DD0" w:rsidP="000F0FC0">
      <w:pPr>
        <w:spacing w:after="0"/>
        <w:ind w:left="720"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lastRenderedPageBreak/>
        <w:t>Článek 12</w:t>
      </w:r>
    </w:p>
    <w:p w:rsidR="00422393" w:rsidRPr="00AC77DB" w:rsidRDefault="00422393" w:rsidP="009E764D">
      <w:pPr>
        <w:spacing w:before="120" w:after="120"/>
        <w:ind w:left="850" w:hanging="425"/>
        <w:jc w:val="center"/>
        <w:rPr>
          <w:b/>
          <w:caps/>
          <w:lang w:val="cs-CZ"/>
        </w:rPr>
      </w:pPr>
      <w:r w:rsidRPr="00AC77DB">
        <w:rPr>
          <w:b/>
          <w:caps/>
          <w:lang w:val="cs-CZ"/>
        </w:rPr>
        <w:t>Stavební deník</w:t>
      </w:r>
    </w:p>
    <w:p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10828" w:rsidRDefault="00810828" w:rsidP="00810828">
      <w:pPr>
        <w:ind w:left="714" w:firstLine="0"/>
        <w:jc w:val="both"/>
        <w:rPr>
          <w:lang w:val="cs-CZ"/>
        </w:rPr>
      </w:pPr>
    </w:p>
    <w:p w:rsidR="00455139" w:rsidRPr="00AC77DB" w:rsidRDefault="00EF7463" w:rsidP="00EF7463">
      <w:pPr>
        <w:pStyle w:val="Nadpis1"/>
        <w:spacing w:before="240"/>
        <w:ind w:left="4253" w:hanging="3827"/>
        <w:jc w:val="center"/>
        <w:rPr>
          <w:b w:val="0"/>
        </w:rPr>
      </w:pPr>
      <w:r w:rsidRPr="00AC77DB">
        <w:rPr>
          <w:sz w:val="22"/>
          <w:szCs w:val="22"/>
        </w:rPr>
        <w:t>Článek 13</w:t>
      </w:r>
    </w:p>
    <w:p w:rsidR="00455139" w:rsidRPr="00AC77DB" w:rsidRDefault="00455139" w:rsidP="009E764D">
      <w:pPr>
        <w:spacing w:before="120" w:after="120"/>
        <w:ind w:left="850" w:hanging="425"/>
        <w:jc w:val="center"/>
        <w:rPr>
          <w:b/>
          <w:caps/>
          <w:lang w:val="cs-CZ"/>
        </w:rPr>
      </w:pPr>
      <w:r w:rsidRPr="00AC77DB">
        <w:rPr>
          <w:b/>
          <w:caps/>
          <w:lang w:val="cs-CZ"/>
        </w:rPr>
        <w:t>Povinnosti zhotovitele</w:t>
      </w:r>
    </w:p>
    <w:p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 xml:space="preserve">informačních systémech pro účely administrace prostředků z rozpočtu EU a prostředků národních zdrojů. Zhotovitel dále souhlasí se </w:t>
      </w:r>
      <w:r w:rsidRPr="00AC77DB">
        <w:rPr>
          <w:lang w:val="cs-CZ"/>
        </w:rPr>
        <w:lastRenderedPageBreak/>
        <w:t>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rsidR="00422393" w:rsidRPr="00AC77DB" w:rsidRDefault="00455139" w:rsidP="00C97B43">
      <w:pPr>
        <w:numPr>
          <w:ilvl w:val="0"/>
          <w:numId w:val="23"/>
        </w:numPr>
        <w:jc w:val="both"/>
        <w:rPr>
          <w:lang w:val="cs-CZ"/>
        </w:rPr>
      </w:pPr>
      <w:r w:rsidRPr="00AC77DB">
        <w:rPr>
          <w:lang w:val="cs-CZ"/>
        </w:rPr>
        <w:t>Zhotovitel je povinen do 14 dnů od podpisu této SoD předložit pojistnou smlouvu na pojištění majetku – stavby, ve výší odpovídající hodnotě stavby s platností na dobu stavby / do nab</w:t>
      </w:r>
      <w:r w:rsidR="00070BDB">
        <w:rPr>
          <w:lang w:val="cs-CZ"/>
        </w:rPr>
        <w:t>y</w:t>
      </w:r>
      <w:r w:rsidRPr="00AC77DB">
        <w:rPr>
          <w:lang w:val="cs-CZ"/>
        </w:rPr>
        <w:t>tí právní moci kolaudačního rozhodnutí.</w:t>
      </w:r>
    </w:p>
    <w:p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rsidR="00206B35" w:rsidRPr="00C438C2" w:rsidRDefault="00206B35" w:rsidP="00206B35">
      <w:pPr>
        <w:numPr>
          <w:ilvl w:val="0"/>
          <w:numId w:val="23"/>
        </w:numPr>
        <w:jc w:val="both"/>
        <w:rPr>
          <w:lang w:val="cs-CZ"/>
        </w:rPr>
      </w:pPr>
      <w:r w:rsidRPr="00C438C2">
        <w:rPr>
          <w:lang w:val="cs-CZ"/>
        </w:rPr>
        <w:t>Zhotovitel je povinen dodržovat pravidla publicity v souladu s  Příručky pro příjemce (dále jen „Závazné pokyny“), ve standardu podle grafického manuálu povinné publicity pro ROP SZ.</w:t>
      </w:r>
    </w:p>
    <w:p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rsidR="005D2F11" w:rsidRPr="00AC77DB" w:rsidRDefault="005D2F11" w:rsidP="005D2F11">
      <w:pPr>
        <w:numPr>
          <w:ilvl w:val="0"/>
          <w:numId w:val="23"/>
        </w:numPr>
        <w:spacing w:after="0"/>
        <w:jc w:val="both"/>
        <w:rPr>
          <w:lang w:val="cs-CZ"/>
        </w:rPr>
      </w:pPr>
      <w:r w:rsidRPr="00AC77DB">
        <w:rPr>
          <w:lang w:val="cs-CZ"/>
        </w:rPr>
        <w:t>V případě, že zhotovitel prokazoval splnění kvalifikace ve veřejné zakázce prostřednictvím subdodavatele podle ust.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w:t>
      </w:r>
      <w:r w:rsidR="00CF72A3">
        <w:rPr>
          <w:lang w:val="cs-CZ"/>
        </w:rPr>
        <w:t xml:space="preserve">a </w:t>
      </w:r>
      <w:r w:rsidRPr="00AC77DB">
        <w:rPr>
          <w:lang w:val="cs-CZ"/>
        </w:rPr>
        <w:t>(sběrny surovin), které ho vykoupí. Získaná peněžní částka náleží objednateli</w:t>
      </w:r>
      <w:r w:rsidR="00CF72A3">
        <w:rPr>
          <w:lang w:val="cs-CZ"/>
        </w:rPr>
        <w:t xml:space="preserve">, </w:t>
      </w:r>
      <w:r w:rsidR="00CF72A3" w:rsidRPr="0074386E">
        <w:rPr>
          <w:lang w:val="cs-CZ"/>
        </w:rPr>
        <w:t>pokud nebude dohodnuto jinak</w:t>
      </w:r>
      <w:r w:rsidRPr="0074386E">
        <w:rPr>
          <w:lang w:val="cs-CZ"/>
        </w:rPr>
        <w:t>.</w:t>
      </w:r>
    </w:p>
    <w:p w:rsidR="005D2F11" w:rsidRDefault="005D2F11" w:rsidP="005D2F11">
      <w:pPr>
        <w:ind w:left="360" w:firstLine="0"/>
        <w:jc w:val="both"/>
        <w:rPr>
          <w:lang w:val="cs-CZ"/>
        </w:rPr>
      </w:pPr>
      <w:r w:rsidRPr="00AC77DB">
        <w:rPr>
          <w:lang w:val="cs-CZ"/>
        </w:rPr>
        <w:t xml:space="preserve"> </w:t>
      </w:r>
    </w:p>
    <w:p w:rsidR="00EF7463" w:rsidRPr="00AC77DB" w:rsidRDefault="00EF7463" w:rsidP="00EF7463">
      <w:pPr>
        <w:pStyle w:val="Nadpis1"/>
        <w:spacing w:before="240"/>
        <w:ind w:left="4253" w:hanging="3827"/>
        <w:jc w:val="center"/>
        <w:rPr>
          <w:sz w:val="22"/>
          <w:szCs w:val="22"/>
        </w:rPr>
      </w:pPr>
      <w:r w:rsidRPr="00AC77DB">
        <w:rPr>
          <w:sz w:val="22"/>
          <w:szCs w:val="22"/>
        </w:rPr>
        <w:t>Článek 14</w:t>
      </w:r>
    </w:p>
    <w:p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rsidR="005E0DD6" w:rsidRPr="00AC77DB" w:rsidRDefault="00422393" w:rsidP="00C97B43">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rsidR="0043257B" w:rsidRPr="00AC77DB" w:rsidRDefault="00BE7AA0" w:rsidP="00C97B43">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74386E" w:rsidRPr="00AC77DB" w:rsidRDefault="0074386E" w:rsidP="00652C8D">
      <w:pPr>
        <w:spacing w:afterLines="60" w:after="144"/>
        <w:ind w:left="709"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15</w:t>
      </w:r>
    </w:p>
    <w:p w:rsidR="00422393" w:rsidRPr="00AC77DB" w:rsidRDefault="00422393" w:rsidP="009E764D">
      <w:pPr>
        <w:spacing w:before="120" w:after="120"/>
        <w:ind w:left="850" w:hanging="425"/>
        <w:jc w:val="center"/>
        <w:rPr>
          <w:b/>
          <w:caps/>
          <w:lang w:val="cs-CZ"/>
        </w:rPr>
      </w:pPr>
      <w:r w:rsidRPr="00AC77DB">
        <w:rPr>
          <w:b/>
          <w:caps/>
          <w:lang w:val="cs-CZ"/>
        </w:rPr>
        <w:t>Ustanovení závěrečná</w:t>
      </w:r>
    </w:p>
    <w:p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422393" w:rsidRPr="00AC77DB" w:rsidRDefault="00422393" w:rsidP="00C97B43">
      <w:pPr>
        <w:numPr>
          <w:ilvl w:val="0"/>
          <w:numId w:val="15"/>
        </w:numPr>
        <w:ind w:left="714" w:hanging="357"/>
        <w:jc w:val="both"/>
        <w:rPr>
          <w:lang w:val="cs-CZ"/>
        </w:rPr>
      </w:pPr>
      <w:r w:rsidRPr="00AC77DB">
        <w:rPr>
          <w:lang w:val="cs-CZ"/>
        </w:rPr>
        <w:t xml:space="preserve">Objednatel a zhotovitel se zavazují, že obchodní a stavebně-technické informace, které jim byly svěřeny smluvním partnerem, nezpřístupní třetím osobám bez písemného souhlasu druhého </w:t>
      </w:r>
      <w:r w:rsidRPr="00AC77DB">
        <w:rPr>
          <w:lang w:val="cs-CZ"/>
        </w:rPr>
        <w:lastRenderedPageBreak/>
        <w:t>smluvního partnera, považují je za důvěrné a nezneužijí těchto informací pro jiné účely než pro plnění předmětu této smlouvy.</w:t>
      </w:r>
    </w:p>
    <w:p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rsidR="00C76F82" w:rsidRDefault="00C76F82" w:rsidP="00C76F82">
      <w:pPr>
        <w:pStyle w:val="Zkladntextodsazen31"/>
        <w:shd w:val="clear" w:color="auto" w:fill="FFFFFF" w:themeFill="background1"/>
        <w:tabs>
          <w:tab w:val="num" w:pos="1985"/>
        </w:tabs>
        <w:ind w:left="2127" w:hanging="1134"/>
        <w:rPr>
          <w:rFonts w:asciiTheme="majorHAnsi" w:hAnsiTheme="majorHAnsi" w:cs="Arial"/>
          <w:i/>
          <w:szCs w:val="22"/>
        </w:rPr>
      </w:pPr>
      <w:r>
        <w:rPr>
          <w:rFonts w:asciiTheme="majorHAnsi" w:hAnsiTheme="majorHAnsi" w:cs="Arial"/>
          <w:i/>
          <w:szCs w:val="22"/>
        </w:rPr>
        <w:t xml:space="preserve">Příloha č. 4:  </w:t>
      </w:r>
      <w:r w:rsidR="00365A16">
        <w:rPr>
          <w:rFonts w:asciiTheme="majorHAnsi" w:hAnsiTheme="majorHAnsi" w:cs="Arial"/>
          <w:i/>
          <w:szCs w:val="22"/>
        </w:rPr>
        <w:t>Bankovní záruka</w:t>
      </w:r>
    </w:p>
    <w:p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rsidR="00C76F82" w:rsidRPr="00C76F82" w:rsidRDefault="00C76F82" w:rsidP="00C76F82">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 xml:space="preserve">Uchazeči nebudou jednotlivé přílohy č. 1 až </w:t>
      </w:r>
      <w:r w:rsidR="00EF6DA3">
        <w:rPr>
          <w:rFonts w:asciiTheme="majorHAnsi" w:hAnsiTheme="majorHAnsi" w:cs="Arial"/>
          <w:b/>
          <w:i/>
          <w:color w:val="0000FF"/>
          <w:u w:val="single"/>
        </w:rPr>
        <w:t>4</w:t>
      </w:r>
      <w:r w:rsidRPr="00C76F82">
        <w:rPr>
          <w:rFonts w:asciiTheme="majorHAnsi" w:hAnsiTheme="majorHAnsi" w:cs="Arial"/>
          <w:b/>
          <w:i/>
          <w:color w:val="0000FF"/>
          <w:u w:val="single"/>
        </w:rPr>
        <w:t xml:space="preserve"> smlouvy přikládat do nabídky jako nedílné součásti smlouvy (návrh smlouvy bude předložen bez příloh). Přílohy č. 1 až </w:t>
      </w:r>
      <w:r w:rsidR="00EF6DA3">
        <w:rPr>
          <w:rFonts w:asciiTheme="majorHAnsi" w:hAnsiTheme="majorHAnsi" w:cs="Arial"/>
          <w:b/>
          <w:i/>
          <w:color w:val="0000FF"/>
          <w:u w:val="single"/>
        </w:rPr>
        <w:t>3</w:t>
      </w:r>
      <w:r w:rsidRPr="00C76F82">
        <w:rPr>
          <w:rFonts w:asciiTheme="majorHAnsi" w:hAnsiTheme="majorHAnsi" w:cs="Arial"/>
          <w:b/>
          <w:i/>
          <w:color w:val="0000FF"/>
          <w:u w:val="single"/>
        </w:rPr>
        <w:t xml:space="preserve"> této smlouvy uchazeči předkládají samostatně v jiné části nabídky. </w:t>
      </w:r>
    </w:p>
    <w:p w:rsidR="00240DAE" w:rsidRDefault="00240DAE" w:rsidP="00CF72A3">
      <w:pPr>
        <w:ind w:firstLine="0"/>
        <w:contextualSpacing/>
        <w:jc w:val="both"/>
        <w:rPr>
          <w:rFonts w:asciiTheme="minorHAnsi" w:hAnsiTheme="minorHAnsi"/>
          <w:highlight w:val="lightGray"/>
          <w:lang w:val="cs-CZ"/>
        </w:rPr>
      </w:pPr>
    </w:p>
    <w:p w:rsidR="009C49F2" w:rsidRDefault="009C49F2" w:rsidP="00CF72A3">
      <w:pPr>
        <w:ind w:firstLine="0"/>
        <w:contextualSpacing/>
        <w:jc w:val="both"/>
        <w:rPr>
          <w:rFonts w:asciiTheme="minorHAnsi" w:hAnsiTheme="minorHAnsi"/>
          <w:highlight w:val="lightGray"/>
          <w:lang w:val="cs-CZ"/>
        </w:rPr>
      </w:pPr>
    </w:p>
    <w:p w:rsidR="00983E9A" w:rsidRPr="00AC77DB" w:rsidRDefault="00983E9A" w:rsidP="00CF72A3">
      <w:pPr>
        <w:ind w:firstLine="0"/>
        <w:contextualSpacing/>
        <w:jc w:val="both"/>
        <w:rPr>
          <w:rFonts w:asciiTheme="minorHAnsi" w:hAnsiTheme="minorHAnsi"/>
          <w:highlight w:val="lightGray"/>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V</w:t>
      </w:r>
      <w:r w:rsidR="009F211F">
        <w:rPr>
          <w:rFonts w:asciiTheme="minorHAnsi" w:hAnsiTheme="minorHAnsi"/>
          <w:lang w:val="cs-CZ"/>
        </w:rPr>
        <w:t xml:space="preserve"> Sokolově </w:t>
      </w:r>
      <w:r w:rsidRPr="00AC77DB">
        <w:rPr>
          <w:rFonts w:asciiTheme="minorHAnsi" w:hAnsiTheme="minorHAnsi"/>
          <w:lang w:val="cs-CZ"/>
        </w:rPr>
        <w:t xml:space="preserve">dne………………….              </w:t>
      </w:r>
      <w:r w:rsidR="0074386E">
        <w:rPr>
          <w:rFonts w:asciiTheme="minorHAnsi" w:hAnsiTheme="minorHAnsi"/>
          <w:lang w:val="cs-CZ"/>
        </w:rPr>
        <w:t xml:space="preserve">                              </w:t>
      </w:r>
      <w:r w:rsidR="009F211F">
        <w:rPr>
          <w:rFonts w:asciiTheme="minorHAnsi" w:hAnsiTheme="minorHAnsi"/>
          <w:lang w:val="cs-CZ"/>
        </w:rPr>
        <w:t xml:space="preserve">       </w:t>
      </w:r>
      <w:r w:rsidR="009F211F">
        <w:rPr>
          <w:rFonts w:asciiTheme="minorHAnsi" w:hAnsiTheme="minorHAnsi"/>
          <w:lang w:val="cs-CZ"/>
        </w:rPr>
        <w:tab/>
      </w:r>
      <w:r w:rsidRPr="00AC77DB">
        <w:rPr>
          <w:rFonts w:asciiTheme="minorHAnsi" w:hAnsiTheme="minorHAnsi"/>
          <w:lang w:val="cs-CZ"/>
        </w:rPr>
        <w:t>V……………………………..dne………………….</w:t>
      </w:r>
    </w:p>
    <w:p w:rsidR="00CB503C" w:rsidRPr="00AC77DB" w:rsidRDefault="00CB503C" w:rsidP="00CB503C">
      <w:pPr>
        <w:ind w:left="851" w:hanging="425"/>
        <w:contextualSpacing/>
        <w:jc w:val="both"/>
        <w:rPr>
          <w:rFonts w:asciiTheme="minorHAnsi" w:hAnsiTheme="minorHAnsi"/>
          <w:lang w:val="cs-CZ"/>
        </w:rPr>
      </w:pPr>
    </w:p>
    <w:p w:rsidR="00652C8D" w:rsidRDefault="00652C8D" w:rsidP="00CF72A3">
      <w:pPr>
        <w:ind w:firstLine="0"/>
        <w:contextualSpacing/>
        <w:jc w:val="both"/>
        <w:rPr>
          <w:rFonts w:asciiTheme="minorHAnsi" w:hAnsiTheme="minorHAnsi"/>
          <w:lang w:val="cs-CZ"/>
        </w:rPr>
      </w:pPr>
    </w:p>
    <w:p w:rsidR="009C49F2" w:rsidRPr="00AC77DB" w:rsidRDefault="009C49F2" w:rsidP="00CF72A3">
      <w:pPr>
        <w:ind w:firstLine="0"/>
        <w:contextualSpacing/>
        <w:jc w:val="both"/>
        <w:rPr>
          <w:rFonts w:asciiTheme="minorHAnsi" w:hAnsiTheme="minorHAnsi"/>
          <w:lang w:val="cs-CZ"/>
        </w:rPr>
      </w:pPr>
    </w:p>
    <w:p w:rsidR="00652C8D" w:rsidRPr="00AC77DB" w:rsidRDefault="00652C8D" w:rsidP="00CF72A3">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74386E">
        <w:rPr>
          <w:rFonts w:asciiTheme="minorHAnsi" w:hAnsiTheme="minorHAnsi"/>
          <w:lang w:val="cs-CZ"/>
        </w:rPr>
        <w:t xml:space="preserve">                              </w:t>
      </w:r>
      <w:r w:rsidRPr="00AC77DB">
        <w:rPr>
          <w:rFonts w:asciiTheme="minorHAnsi" w:hAnsiTheme="minorHAnsi"/>
          <w:lang w:val="cs-CZ"/>
        </w:rPr>
        <w:t>…………………………………………………………</w:t>
      </w:r>
    </w:p>
    <w:p w:rsidR="007B06C2" w:rsidRPr="007B06C2" w:rsidRDefault="007B06C2" w:rsidP="00CB503C">
      <w:pPr>
        <w:ind w:left="851" w:hanging="425"/>
        <w:contextualSpacing/>
        <w:jc w:val="both"/>
        <w:rPr>
          <w:rFonts w:asciiTheme="minorHAnsi" w:hAnsiTheme="minorHAnsi"/>
          <w:b/>
          <w:lang w:val="cs-CZ"/>
        </w:rPr>
      </w:pPr>
      <w:r>
        <w:rPr>
          <w:rStyle w:val="Siln"/>
          <w:bCs w:val="0"/>
          <w:color w:val="000000"/>
        </w:rPr>
        <w:t xml:space="preserve">              </w:t>
      </w:r>
      <w:r w:rsidR="009F211F" w:rsidRPr="00875CCC">
        <w:rPr>
          <w:rFonts w:cs="Arial"/>
          <w:color w:val="000000"/>
          <w:lang w:eastAsia="cs-CZ"/>
        </w:rPr>
        <w:t>Ing. Michael Rund</w:t>
      </w:r>
      <w:r w:rsidR="00652C8D" w:rsidRPr="008B1A54">
        <w:rPr>
          <w:rFonts w:asciiTheme="minorHAnsi" w:hAnsiTheme="minorHAnsi"/>
          <w:b/>
          <w:lang w:val="cs-CZ"/>
        </w:rPr>
        <w:t xml:space="preserve">          </w:t>
      </w:r>
      <w:r w:rsidR="00296C68" w:rsidRPr="008B1A54">
        <w:rPr>
          <w:rFonts w:asciiTheme="minorHAnsi" w:hAnsiTheme="minorHAnsi"/>
          <w:b/>
          <w:lang w:val="cs-CZ"/>
        </w:rPr>
        <w:t xml:space="preserve">       </w:t>
      </w:r>
      <w:r w:rsidR="00652C8D" w:rsidRPr="008B1A54">
        <w:rPr>
          <w:rFonts w:asciiTheme="minorHAnsi" w:hAnsiTheme="minorHAnsi"/>
          <w:b/>
          <w:lang w:val="cs-CZ"/>
        </w:rPr>
        <w:t xml:space="preserve"> </w:t>
      </w:r>
      <w:r w:rsidR="008B1A54" w:rsidRPr="008B1A54">
        <w:rPr>
          <w:rFonts w:asciiTheme="minorHAnsi" w:hAnsiTheme="minorHAnsi"/>
          <w:b/>
          <w:lang w:val="cs-CZ"/>
        </w:rPr>
        <w:t xml:space="preserve">                                                                      </w:t>
      </w:r>
      <w:r w:rsidR="008B1A54" w:rsidRPr="008B1A54">
        <w:rPr>
          <w:rFonts w:asciiTheme="minorHAnsi" w:hAnsiTheme="minorHAnsi"/>
          <w:color w:val="00B0F0"/>
          <w:lang w:val="cs-CZ"/>
        </w:rPr>
        <w:t>(doplní uchazeč)</w:t>
      </w:r>
    </w:p>
    <w:p w:rsidR="00652C8D" w:rsidRPr="00AC77DB" w:rsidRDefault="007B06C2" w:rsidP="00CB503C">
      <w:pPr>
        <w:ind w:left="851" w:hanging="425"/>
        <w:contextualSpacing/>
        <w:jc w:val="both"/>
        <w:rPr>
          <w:rFonts w:asciiTheme="minorHAnsi" w:hAnsiTheme="minorHAnsi"/>
          <w:lang w:val="cs-CZ"/>
        </w:rPr>
      </w:pPr>
      <w:r>
        <w:rPr>
          <w:rFonts w:asciiTheme="minorHAnsi" w:hAnsiTheme="minorHAnsi"/>
          <w:lang w:val="cs-CZ"/>
        </w:rPr>
        <w:t xml:space="preserve">               </w:t>
      </w:r>
      <w:r w:rsidR="009F211F">
        <w:rPr>
          <w:rFonts w:asciiTheme="minorHAnsi" w:hAnsiTheme="minorHAnsi"/>
          <w:lang w:val="cs-CZ"/>
        </w:rPr>
        <w:t xml:space="preserve">       ředitel</w:t>
      </w:r>
    </w:p>
    <w:p w:rsidR="00181577" w:rsidRPr="00AC77DB" w:rsidRDefault="007B06C2"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w:t>
      </w:r>
      <w:bookmarkStart w:id="0" w:name="_GoBack"/>
      <w:bookmarkEnd w:id="0"/>
      <w:r>
        <w:rPr>
          <w:rFonts w:asciiTheme="minorHAnsi" w:hAnsiTheme="minorHAnsi"/>
          <w:lang w:val="cs-CZ"/>
        </w:rPr>
        <w:t xml:space="preserve">         </w:t>
      </w:r>
      <w:r w:rsidR="00BB3499"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00BB3499" w:rsidRPr="00AC77DB">
        <w:rPr>
          <w:rFonts w:asciiTheme="minorHAnsi" w:hAnsiTheme="minorHAnsi"/>
          <w:lang w:val="cs-CZ"/>
        </w:rPr>
        <w:t>le</w:t>
      </w:r>
    </w:p>
    <w:sectPr w:rsidR="00181577" w:rsidRPr="00AC77DB" w:rsidSect="00F57CB8">
      <w:footerReference w:type="default" r:id="rId13"/>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ABE" w:rsidRDefault="002A4ABE" w:rsidP="00DF3FCF">
      <w:r>
        <w:separator/>
      </w:r>
    </w:p>
  </w:endnote>
  <w:endnote w:type="continuationSeparator" w:id="0">
    <w:p w:rsidR="002A4ABE" w:rsidRDefault="002A4AB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1D7DD0">
          <w:rPr>
            <w:noProof/>
          </w:rPr>
          <w:t>- 13 -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ABE" w:rsidRDefault="002A4ABE" w:rsidP="00DF3FCF">
      <w:r>
        <w:separator/>
      </w:r>
    </w:p>
  </w:footnote>
  <w:footnote w:type="continuationSeparator" w:id="0">
    <w:p w:rsidR="002A4ABE" w:rsidRDefault="002A4AB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F9C1EA9"/>
    <w:multiLevelType w:val="hybridMultilevel"/>
    <w:tmpl w:val="964C8B3E"/>
    <w:lvl w:ilvl="0" w:tplc="3EC6C66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5">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7">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2">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36"/>
  </w:num>
  <w:num w:numId="4">
    <w:abstractNumId w:val="2"/>
  </w:num>
  <w:num w:numId="5">
    <w:abstractNumId w:val="17"/>
  </w:num>
  <w:num w:numId="6">
    <w:abstractNumId w:val="15"/>
  </w:num>
  <w:num w:numId="7">
    <w:abstractNumId w:val="12"/>
  </w:num>
  <w:num w:numId="8">
    <w:abstractNumId w:val="4"/>
  </w:num>
  <w:num w:numId="9">
    <w:abstractNumId w:val="30"/>
  </w:num>
  <w:num w:numId="10">
    <w:abstractNumId w:val="3"/>
  </w:num>
  <w:num w:numId="11">
    <w:abstractNumId w:val="44"/>
  </w:num>
  <w:num w:numId="12">
    <w:abstractNumId w:val="32"/>
  </w:num>
  <w:num w:numId="13">
    <w:abstractNumId w:val="40"/>
  </w:num>
  <w:num w:numId="14">
    <w:abstractNumId w:val="11"/>
  </w:num>
  <w:num w:numId="15">
    <w:abstractNumId w:val="37"/>
  </w:num>
  <w:num w:numId="16">
    <w:abstractNumId w:val="8"/>
  </w:num>
  <w:num w:numId="17">
    <w:abstractNumId w:val="26"/>
  </w:num>
  <w:num w:numId="18">
    <w:abstractNumId w:val="14"/>
  </w:num>
  <w:num w:numId="19">
    <w:abstractNumId w:val="35"/>
  </w:num>
  <w:num w:numId="20">
    <w:abstractNumId w:val="31"/>
  </w:num>
  <w:num w:numId="21">
    <w:abstractNumId w:val="29"/>
  </w:num>
  <w:num w:numId="22">
    <w:abstractNumId w:val="7"/>
  </w:num>
  <w:num w:numId="23">
    <w:abstractNumId w:val="23"/>
  </w:num>
  <w:num w:numId="24">
    <w:abstractNumId w:val="43"/>
  </w:num>
  <w:num w:numId="25">
    <w:abstractNumId w:val="18"/>
  </w:num>
  <w:num w:numId="26">
    <w:abstractNumId w:val="24"/>
  </w:num>
  <w:num w:numId="27">
    <w:abstractNumId w:val="0"/>
    <w:lvlOverride w:ilvl="0">
      <w:startOverride w:val="1"/>
    </w:lvlOverride>
  </w:num>
  <w:num w:numId="28">
    <w:abstractNumId w:val="6"/>
  </w:num>
  <w:num w:numId="29">
    <w:abstractNumId w:val="2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8"/>
  </w:num>
  <w:num w:numId="33">
    <w:abstractNumId w:val="9"/>
  </w:num>
  <w:num w:numId="34">
    <w:abstractNumId w:val="22"/>
  </w:num>
  <w:num w:numId="35">
    <w:abstractNumId w:val="34"/>
  </w:num>
  <w:num w:numId="36">
    <w:abstractNumId w:val="33"/>
  </w:num>
  <w:num w:numId="37">
    <w:abstractNumId w:val="19"/>
  </w:num>
  <w:num w:numId="38">
    <w:abstractNumId w:val="5"/>
  </w:num>
  <w:num w:numId="39">
    <w:abstractNumId w:val="13"/>
  </w:num>
  <w:num w:numId="40">
    <w:abstractNumId w:val="46"/>
  </w:num>
  <w:num w:numId="41">
    <w:abstractNumId w:val="25"/>
  </w:num>
  <w:num w:numId="42">
    <w:abstractNumId w:val="10"/>
  </w:num>
  <w:num w:numId="43">
    <w:abstractNumId w:val="45"/>
  </w:num>
  <w:num w:numId="44">
    <w:abstractNumId w:val="21"/>
  </w:num>
  <w:num w:numId="45">
    <w:abstractNumId w:val="39"/>
  </w:num>
  <w:num w:numId="46">
    <w:abstractNumId w:val="4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8913">
      <o:colormru v:ext="edit" colors="#ab0042,#c3c3c3,#ff88b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03C"/>
    <w:rsid w:val="00011DBC"/>
    <w:rsid w:val="00026D8C"/>
    <w:rsid w:val="00044155"/>
    <w:rsid w:val="00045325"/>
    <w:rsid w:val="00045EF2"/>
    <w:rsid w:val="0004771F"/>
    <w:rsid w:val="00050B2D"/>
    <w:rsid w:val="00061A6A"/>
    <w:rsid w:val="000662CF"/>
    <w:rsid w:val="00070BDB"/>
    <w:rsid w:val="0007396B"/>
    <w:rsid w:val="00077BEF"/>
    <w:rsid w:val="00085A90"/>
    <w:rsid w:val="000A0ED6"/>
    <w:rsid w:val="000E2D2D"/>
    <w:rsid w:val="000E68FF"/>
    <w:rsid w:val="000E7C37"/>
    <w:rsid w:val="000F079A"/>
    <w:rsid w:val="000F0FC0"/>
    <w:rsid w:val="001046B0"/>
    <w:rsid w:val="0011104B"/>
    <w:rsid w:val="00127586"/>
    <w:rsid w:val="001343B4"/>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D7DD0"/>
    <w:rsid w:val="001F1985"/>
    <w:rsid w:val="00206B35"/>
    <w:rsid w:val="00225A11"/>
    <w:rsid w:val="00240DAE"/>
    <w:rsid w:val="0024214C"/>
    <w:rsid w:val="002566C7"/>
    <w:rsid w:val="00265400"/>
    <w:rsid w:val="00270F20"/>
    <w:rsid w:val="00280AD9"/>
    <w:rsid w:val="002917E1"/>
    <w:rsid w:val="00296C68"/>
    <w:rsid w:val="002A4ABE"/>
    <w:rsid w:val="002A78CD"/>
    <w:rsid w:val="002C3AA6"/>
    <w:rsid w:val="002C7E7F"/>
    <w:rsid w:val="002E1D45"/>
    <w:rsid w:val="002F6B4C"/>
    <w:rsid w:val="00306955"/>
    <w:rsid w:val="00327A46"/>
    <w:rsid w:val="00342F22"/>
    <w:rsid w:val="00365A16"/>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1C76"/>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592"/>
    <w:rsid w:val="006369F9"/>
    <w:rsid w:val="00641389"/>
    <w:rsid w:val="00650EBA"/>
    <w:rsid w:val="00652C8D"/>
    <w:rsid w:val="00653702"/>
    <w:rsid w:val="0065675C"/>
    <w:rsid w:val="00690F5D"/>
    <w:rsid w:val="006977D7"/>
    <w:rsid w:val="006A7B6B"/>
    <w:rsid w:val="006B52CC"/>
    <w:rsid w:val="006C5DA9"/>
    <w:rsid w:val="006C7A50"/>
    <w:rsid w:val="006D2F3A"/>
    <w:rsid w:val="006D460E"/>
    <w:rsid w:val="006D6EE1"/>
    <w:rsid w:val="006E0BF7"/>
    <w:rsid w:val="00704699"/>
    <w:rsid w:val="00707CD6"/>
    <w:rsid w:val="00713DFC"/>
    <w:rsid w:val="00721AAC"/>
    <w:rsid w:val="00723D7B"/>
    <w:rsid w:val="0074386E"/>
    <w:rsid w:val="00763DD4"/>
    <w:rsid w:val="0077263B"/>
    <w:rsid w:val="00782953"/>
    <w:rsid w:val="0078361A"/>
    <w:rsid w:val="00785702"/>
    <w:rsid w:val="00785BDA"/>
    <w:rsid w:val="007A1AD0"/>
    <w:rsid w:val="007B06C2"/>
    <w:rsid w:val="007B34CE"/>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B1A54"/>
    <w:rsid w:val="008B1EFE"/>
    <w:rsid w:val="008B2CDF"/>
    <w:rsid w:val="008B3F87"/>
    <w:rsid w:val="008B4FE4"/>
    <w:rsid w:val="008B5974"/>
    <w:rsid w:val="008B6C98"/>
    <w:rsid w:val="008C25F8"/>
    <w:rsid w:val="008C7B33"/>
    <w:rsid w:val="008D1FA4"/>
    <w:rsid w:val="008D29EC"/>
    <w:rsid w:val="00902B6D"/>
    <w:rsid w:val="00930B02"/>
    <w:rsid w:val="00937AC1"/>
    <w:rsid w:val="00956544"/>
    <w:rsid w:val="00961AD0"/>
    <w:rsid w:val="00973FB1"/>
    <w:rsid w:val="00976243"/>
    <w:rsid w:val="009811A5"/>
    <w:rsid w:val="00983E9A"/>
    <w:rsid w:val="00984F9C"/>
    <w:rsid w:val="0098797B"/>
    <w:rsid w:val="00992E87"/>
    <w:rsid w:val="009B55F9"/>
    <w:rsid w:val="009C49F2"/>
    <w:rsid w:val="009C56F1"/>
    <w:rsid w:val="009E1650"/>
    <w:rsid w:val="009E764D"/>
    <w:rsid w:val="009F211F"/>
    <w:rsid w:val="00A40A0D"/>
    <w:rsid w:val="00A563EF"/>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1448"/>
    <w:rsid w:val="00C22269"/>
    <w:rsid w:val="00C275D1"/>
    <w:rsid w:val="00C454F8"/>
    <w:rsid w:val="00C651B2"/>
    <w:rsid w:val="00C76F82"/>
    <w:rsid w:val="00C932B3"/>
    <w:rsid w:val="00C978E9"/>
    <w:rsid w:val="00C97B43"/>
    <w:rsid w:val="00CB4050"/>
    <w:rsid w:val="00CB503C"/>
    <w:rsid w:val="00CB5924"/>
    <w:rsid w:val="00CD4418"/>
    <w:rsid w:val="00CD6A64"/>
    <w:rsid w:val="00CE7D17"/>
    <w:rsid w:val="00CF0CC3"/>
    <w:rsid w:val="00CF1554"/>
    <w:rsid w:val="00CF72A3"/>
    <w:rsid w:val="00CF7B09"/>
    <w:rsid w:val="00D1519C"/>
    <w:rsid w:val="00D20B28"/>
    <w:rsid w:val="00D35D0F"/>
    <w:rsid w:val="00D4642C"/>
    <w:rsid w:val="00D705D7"/>
    <w:rsid w:val="00D72D7A"/>
    <w:rsid w:val="00D815D8"/>
    <w:rsid w:val="00D86AFE"/>
    <w:rsid w:val="00DA0E42"/>
    <w:rsid w:val="00DA11C6"/>
    <w:rsid w:val="00DA326B"/>
    <w:rsid w:val="00DA6611"/>
    <w:rsid w:val="00DC2929"/>
    <w:rsid w:val="00DC78A2"/>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6DA3"/>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oskot@muzeum-sokolov.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CECF8B-F92A-4EA5-B054-688A0411A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13</Pages>
  <Words>5655</Words>
  <Characters>33369</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52</cp:revision>
  <cp:lastPrinted>2014-01-06T09:58:00Z</cp:lastPrinted>
  <dcterms:created xsi:type="dcterms:W3CDTF">2014-01-29T20:28:00Z</dcterms:created>
  <dcterms:modified xsi:type="dcterms:W3CDTF">2014-09-18T11:26:00Z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