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43B0" w14:textId="7B7A5759" w:rsidR="001E5902" w:rsidRDefault="001E5902" w:rsidP="00B00BAB">
      <w:pPr>
        <w:rPr>
          <w:rFonts w:asciiTheme="minorHAnsi" w:hAnsiTheme="minorHAnsi" w:cstheme="minorHAnsi"/>
          <w:b/>
          <w:sz w:val="18"/>
          <w:szCs w:val="18"/>
        </w:rPr>
      </w:pPr>
    </w:p>
    <w:p w14:paraId="0106C379" w14:textId="77777777" w:rsidR="00F3065F" w:rsidRPr="00F3065F" w:rsidRDefault="00F3065F" w:rsidP="00B00BAB">
      <w:pPr>
        <w:rPr>
          <w:rFonts w:asciiTheme="minorHAnsi" w:hAnsiTheme="minorHAnsi" w:cstheme="minorHAnsi"/>
          <w:sz w:val="28"/>
          <w:szCs w:val="28"/>
        </w:rPr>
      </w:pPr>
      <w:r w:rsidRPr="00F3065F">
        <w:rPr>
          <w:rFonts w:asciiTheme="minorHAnsi" w:hAnsiTheme="minorHAnsi" w:cstheme="minorHAnsi"/>
          <w:b/>
          <w:sz w:val="28"/>
          <w:szCs w:val="28"/>
          <w:u w:val="single"/>
        </w:rPr>
        <w:t>Společné datové prostředí</w:t>
      </w:r>
      <w:r w:rsidRPr="00F3065F">
        <w:rPr>
          <w:rFonts w:asciiTheme="minorHAnsi" w:hAnsiTheme="minorHAnsi" w:cstheme="minorHAnsi"/>
          <w:sz w:val="28"/>
          <w:szCs w:val="28"/>
        </w:rPr>
        <w:t xml:space="preserve"> stavby: </w:t>
      </w:r>
    </w:p>
    <w:p w14:paraId="24838611" w14:textId="74DE73DB" w:rsidR="00F3065F" w:rsidRDefault="00781C7E" w:rsidP="00781C7E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81C7E">
        <w:rPr>
          <w:rFonts w:asciiTheme="minorHAnsi" w:hAnsiTheme="minorHAnsi" w:cstheme="minorHAnsi"/>
          <w:b/>
          <w:sz w:val="28"/>
          <w:szCs w:val="28"/>
        </w:rPr>
        <w:t>„</w:t>
      </w:r>
      <w:r w:rsidR="0031068A" w:rsidRPr="0031068A">
        <w:rPr>
          <w:rFonts w:asciiTheme="minorHAnsi" w:hAnsiTheme="minorHAnsi" w:cstheme="minorHAnsi"/>
          <w:b/>
          <w:sz w:val="28"/>
          <w:szCs w:val="28"/>
        </w:rPr>
        <w:t xml:space="preserve">Silnice II/606 </w:t>
      </w:r>
      <w:proofErr w:type="gramStart"/>
      <w:r w:rsidR="0031068A" w:rsidRPr="0031068A">
        <w:rPr>
          <w:rFonts w:asciiTheme="minorHAnsi" w:hAnsiTheme="minorHAnsi" w:cstheme="minorHAnsi"/>
          <w:b/>
          <w:sz w:val="28"/>
          <w:szCs w:val="28"/>
        </w:rPr>
        <w:t>Cheb - Pomezí</w:t>
      </w:r>
      <w:proofErr w:type="gramEnd"/>
      <w:r w:rsidRPr="00781C7E">
        <w:rPr>
          <w:rFonts w:asciiTheme="minorHAnsi" w:hAnsiTheme="minorHAnsi" w:cstheme="minorHAnsi"/>
          <w:b/>
          <w:sz w:val="28"/>
          <w:szCs w:val="28"/>
        </w:rPr>
        <w:t>“</w:t>
      </w:r>
    </w:p>
    <w:p w14:paraId="738F2214" w14:textId="551B3F18" w:rsidR="00F3065F" w:rsidRDefault="00F3065F" w:rsidP="00B00BAB">
      <w:pPr>
        <w:rPr>
          <w:rFonts w:asciiTheme="minorHAnsi" w:hAnsiTheme="minorHAnsi" w:cstheme="minorHAnsi"/>
          <w:b/>
          <w:sz w:val="18"/>
          <w:szCs w:val="18"/>
        </w:rPr>
      </w:pPr>
    </w:p>
    <w:p w14:paraId="11504FDE" w14:textId="77777777" w:rsidR="00F3065F" w:rsidRPr="007A4871" w:rsidRDefault="00F3065F" w:rsidP="00B00BAB">
      <w:pPr>
        <w:rPr>
          <w:rFonts w:asciiTheme="minorHAnsi" w:hAnsiTheme="minorHAnsi" w:cstheme="minorHAnsi"/>
          <w:b/>
          <w:sz w:val="18"/>
          <w:szCs w:val="18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sz w:val="18"/>
          <w:szCs w:val="18"/>
        </w:rPr>
        <w:id w:val="468064262"/>
        <w:docPartObj>
          <w:docPartGallery w:val="Table of Contents"/>
          <w:docPartUnique/>
        </w:docPartObj>
      </w:sdtPr>
      <w:sdtEndPr/>
      <w:sdtContent>
        <w:p w14:paraId="61377255" w14:textId="4484CB21" w:rsidR="00B00BAB" w:rsidRPr="00F3065F" w:rsidRDefault="00B00BAB" w:rsidP="00A76EBD">
          <w:pPr>
            <w:pStyle w:val="Nadpisobsahu"/>
            <w:rPr>
              <w:rFonts w:ascii="Book Antiqua" w:hAnsi="Book Antiqua" w:cs="Arial"/>
              <w:szCs w:val="18"/>
              <w:u w:val="single"/>
            </w:rPr>
          </w:pPr>
          <w:r w:rsidRPr="00F3065F">
            <w:rPr>
              <w:rFonts w:ascii="Book Antiqua" w:hAnsi="Book Antiqua" w:cs="Arial"/>
              <w:szCs w:val="18"/>
              <w:u w:val="single"/>
            </w:rPr>
            <w:t>Obsah</w:t>
          </w:r>
        </w:p>
        <w:p w14:paraId="35718C40" w14:textId="77777777" w:rsidR="002C70F8" w:rsidRPr="00F03ECE" w:rsidRDefault="002C70F8" w:rsidP="002C70F8">
          <w:pPr>
            <w:rPr>
              <w:rFonts w:ascii="Book Antiqua" w:hAnsi="Book Antiqua"/>
            </w:rPr>
          </w:pPr>
        </w:p>
        <w:p w14:paraId="65454BD9" w14:textId="741FD915" w:rsidR="007659D7" w:rsidRPr="00F03ECE" w:rsidRDefault="002815D1">
          <w:pPr>
            <w:pStyle w:val="Obsah1"/>
            <w:rPr>
              <w:rFonts w:ascii="Book Antiqua" w:eastAsiaTheme="minorEastAsia" w:hAnsi="Book Antiqua"/>
              <w:noProof/>
              <w:lang w:eastAsia="ja-JP"/>
            </w:rPr>
          </w:pPr>
          <w:r w:rsidRPr="00F03ECE">
            <w:rPr>
              <w:rFonts w:ascii="Book Antiqua" w:hAnsi="Book Antiqua" w:cstheme="minorHAnsi"/>
              <w:sz w:val="18"/>
              <w:szCs w:val="18"/>
            </w:rPr>
            <w:fldChar w:fldCharType="begin"/>
          </w:r>
          <w:r w:rsidR="00B00BAB" w:rsidRPr="00F03ECE">
            <w:rPr>
              <w:rFonts w:ascii="Book Antiqua" w:hAnsi="Book Antiqua" w:cstheme="minorHAnsi"/>
              <w:sz w:val="18"/>
              <w:szCs w:val="18"/>
            </w:rPr>
            <w:instrText xml:space="preserve"> TOC \o "1-3" \h \z \u </w:instrText>
          </w:r>
          <w:r w:rsidRPr="00F03ECE">
            <w:rPr>
              <w:rFonts w:ascii="Book Antiqua" w:hAnsi="Book Antiqua" w:cstheme="minorHAnsi"/>
              <w:sz w:val="18"/>
              <w:szCs w:val="18"/>
            </w:rPr>
            <w:fldChar w:fldCharType="separate"/>
          </w:r>
          <w:hyperlink w:anchor="_Toc65664795" w:history="1"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1.</w:t>
            </w:r>
            <w:r w:rsidR="007659D7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API CDE Objednatele</w:t>
            </w:r>
            <w:r w:rsidR="007659D7" w:rsidRPr="00F03ECE">
              <w:rPr>
                <w:rFonts w:ascii="Book Antiqua" w:hAnsi="Book Antiqua"/>
                <w:noProof/>
                <w:webHidden/>
              </w:rPr>
              <w:tab/>
            </w:r>
            <w:r w:rsidR="00F3065F">
              <w:rPr>
                <w:rFonts w:ascii="Book Antiqua" w:hAnsi="Book Antiqua"/>
                <w:noProof/>
                <w:webHidden/>
              </w:rPr>
              <w:t>2</w:t>
            </w:r>
          </w:hyperlink>
        </w:p>
        <w:p w14:paraId="58DAEFF4" w14:textId="4C5924F2" w:rsidR="007659D7" w:rsidRPr="00F03ECE" w:rsidRDefault="00E8678C">
          <w:pPr>
            <w:pStyle w:val="Obsah1"/>
            <w:rPr>
              <w:rFonts w:ascii="Book Antiqua" w:eastAsiaTheme="minorEastAsia" w:hAnsi="Book Antiqua"/>
              <w:noProof/>
              <w:lang w:eastAsia="ja-JP"/>
            </w:rPr>
          </w:pPr>
          <w:hyperlink w:anchor="_Toc65664797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2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="007659D7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Funkční požadavky</w:t>
            </w:r>
            <w:r w:rsidR="007659D7" w:rsidRPr="00F03ECE">
              <w:rPr>
                <w:rFonts w:ascii="Book Antiqua" w:hAnsi="Book Antiqua"/>
                <w:noProof/>
                <w:webHidden/>
              </w:rPr>
              <w:tab/>
            </w:r>
            <w:r w:rsidR="00F3065F">
              <w:rPr>
                <w:rFonts w:ascii="Book Antiqua" w:hAnsi="Book Antiqua"/>
                <w:noProof/>
                <w:webHidden/>
              </w:rPr>
              <w:t>2</w:t>
            </w:r>
          </w:hyperlink>
        </w:p>
        <w:p w14:paraId="62345861" w14:textId="625C7C3E" w:rsidR="007659D7" w:rsidRPr="00F03ECE" w:rsidRDefault="00E8678C">
          <w:pPr>
            <w:pStyle w:val="Obsah1"/>
            <w:rPr>
              <w:rFonts w:ascii="Book Antiqua" w:eastAsiaTheme="minorEastAsia" w:hAnsi="Book Antiqua"/>
              <w:noProof/>
              <w:lang w:eastAsia="ja-JP"/>
            </w:rPr>
          </w:pPr>
          <w:hyperlink w:anchor="_Toc65664798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3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="007659D7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Adresářová struktura</w:t>
            </w:r>
            <w:r w:rsidR="007659D7" w:rsidRPr="00F03ECE">
              <w:rPr>
                <w:rFonts w:ascii="Book Antiqua" w:hAnsi="Book Antiqua"/>
                <w:noProof/>
                <w:webHidden/>
              </w:rPr>
              <w:tab/>
            </w:r>
            <w:r w:rsidR="00D916FC">
              <w:rPr>
                <w:rFonts w:ascii="Book Antiqua" w:hAnsi="Book Antiqua"/>
                <w:noProof/>
                <w:webHidden/>
              </w:rPr>
              <w:t>3</w:t>
            </w:r>
          </w:hyperlink>
        </w:p>
        <w:p w14:paraId="0D2F5AEE" w14:textId="4478B0FF" w:rsidR="007659D7" w:rsidRPr="00F03ECE" w:rsidRDefault="00E8678C">
          <w:pPr>
            <w:pStyle w:val="Obsah1"/>
            <w:rPr>
              <w:rFonts w:ascii="Book Antiqua" w:eastAsiaTheme="minorEastAsia" w:hAnsi="Book Antiqua"/>
              <w:noProof/>
              <w:lang w:eastAsia="ja-JP"/>
            </w:rPr>
          </w:pPr>
          <w:hyperlink w:anchor="_Toc65664799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4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="007659D7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Bezpečnostní požadavky</w:t>
            </w:r>
            <w:r w:rsidR="007659D7" w:rsidRPr="00F03ECE">
              <w:rPr>
                <w:rFonts w:ascii="Book Antiqua" w:hAnsi="Book Antiqua"/>
                <w:noProof/>
                <w:webHidden/>
              </w:rPr>
              <w:tab/>
            </w:r>
            <w:r w:rsidR="00D916FC">
              <w:rPr>
                <w:rFonts w:ascii="Book Antiqua" w:hAnsi="Book Antiqua"/>
                <w:noProof/>
                <w:webHidden/>
              </w:rPr>
              <w:t>3</w:t>
            </w:r>
          </w:hyperlink>
        </w:p>
        <w:p w14:paraId="6CC02032" w14:textId="771B8E05" w:rsidR="007659D7" w:rsidRDefault="00E8678C">
          <w:pPr>
            <w:pStyle w:val="Obsah1"/>
            <w:rPr>
              <w:rFonts w:ascii="Book Antiqua" w:hAnsi="Book Antiqua"/>
              <w:noProof/>
            </w:rPr>
          </w:pPr>
          <w:hyperlink w:anchor="_Toc65664800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5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="007659D7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7659D7" w:rsidRPr="00F03ECE">
              <w:rPr>
                <w:rStyle w:val="Hypertextovodkaz"/>
                <w:rFonts w:ascii="Book Antiqua" w:eastAsia="Arial" w:hAnsi="Book Antiqua" w:cs="Arial"/>
                <w:noProof/>
              </w:rPr>
              <w:t>Další požadavky</w:t>
            </w:r>
            <w:r w:rsidR="007659D7" w:rsidRPr="00F03ECE">
              <w:rPr>
                <w:rFonts w:ascii="Book Antiqua" w:hAnsi="Book Antiqua"/>
                <w:noProof/>
                <w:webHidden/>
              </w:rPr>
              <w:tab/>
            </w:r>
            <w:r w:rsidR="00387950">
              <w:rPr>
                <w:rFonts w:ascii="Book Antiqua" w:hAnsi="Book Antiqua"/>
                <w:noProof/>
                <w:webHidden/>
              </w:rPr>
              <w:t>3</w:t>
            </w:r>
          </w:hyperlink>
        </w:p>
        <w:p w14:paraId="44BF839B" w14:textId="4FA61308" w:rsidR="00D916FC" w:rsidRDefault="00E8678C" w:rsidP="00D916FC">
          <w:pPr>
            <w:pStyle w:val="Obsah1"/>
            <w:rPr>
              <w:rFonts w:ascii="Book Antiqua" w:hAnsi="Book Antiqua"/>
              <w:noProof/>
            </w:rPr>
          </w:pPr>
          <w:hyperlink w:anchor="_Toc65664800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6</w:t>
            </w:r>
            <w:r w:rsidR="00D916FC"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="00D916FC"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 w:rsidR="00D916FC">
              <w:rPr>
                <w:rStyle w:val="Hypertextovodkaz"/>
                <w:rFonts w:ascii="Book Antiqua" w:eastAsia="Times New Roman" w:hAnsi="Book Antiqua" w:cs="Times New Roman"/>
                <w:noProof/>
              </w:rPr>
              <w:t>Licenční podmínky CDE Proconom</w:t>
            </w:r>
            <w:r w:rsidR="00D916FC" w:rsidRPr="00F03ECE">
              <w:rPr>
                <w:rFonts w:ascii="Book Antiqua" w:hAnsi="Book Antiqua"/>
                <w:noProof/>
                <w:webHidden/>
              </w:rPr>
              <w:tab/>
            </w:r>
            <w:r w:rsidR="00387950">
              <w:rPr>
                <w:rFonts w:ascii="Book Antiqua" w:hAnsi="Book Antiqua"/>
                <w:noProof/>
                <w:webHidden/>
              </w:rPr>
              <w:t>4</w:t>
            </w:r>
          </w:hyperlink>
        </w:p>
        <w:p w14:paraId="42765297" w14:textId="7F33C85D" w:rsidR="00387950" w:rsidRDefault="00387950" w:rsidP="00387950">
          <w:pPr>
            <w:pStyle w:val="Obsah1"/>
            <w:rPr>
              <w:rFonts w:ascii="Book Antiqua" w:hAnsi="Book Antiqua"/>
              <w:noProof/>
            </w:rPr>
          </w:pPr>
          <w:hyperlink w:anchor="_Toc65664800" w:history="1">
            <w:r>
              <w:rPr>
                <w:rStyle w:val="Hypertextovodkaz"/>
                <w:rFonts w:ascii="Book Antiqua" w:eastAsia="Arial" w:hAnsi="Book Antiqua" w:cs="Arial"/>
                <w:noProof/>
              </w:rPr>
              <w:t>7</w:t>
            </w:r>
            <w:r w:rsidRPr="00F03ECE">
              <w:rPr>
                <w:rStyle w:val="Hypertextovodkaz"/>
                <w:rFonts w:ascii="Book Antiqua" w:eastAsia="Arial" w:hAnsi="Book Antiqua" w:cs="Arial"/>
                <w:noProof/>
              </w:rPr>
              <w:t>.</w:t>
            </w:r>
            <w:r w:rsidRPr="00F03ECE">
              <w:rPr>
                <w:rStyle w:val="Hypertextovodkaz"/>
                <w:rFonts w:ascii="Book Antiqua" w:eastAsia="Times New Roman" w:hAnsi="Book Antiqua" w:cs="Times New Roman"/>
                <w:noProof/>
              </w:rPr>
              <w:t xml:space="preserve">     </w:t>
            </w:r>
            <w:r>
              <w:rPr>
                <w:rStyle w:val="Hypertextovodkaz"/>
                <w:rFonts w:ascii="Book Antiqua" w:eastAsia="Times New Roman" w:hAnsi="Book Antiqua" w:cs="Times New Roman"/>
                <w:noProof/>
              </w:rPr>
              <w:t>Rozsah použití CDE Proconom v rámci stavby</w:t>
            </w:r>
            <w:r w:rsidRPr="00F03ECE">
              <w:rPr>
                <w:rFonts w:ascii="Book Antiqua" w:hAnsi="Book Antiqua"/>
                <w:noProof/>
                <w:webHidden/>
              </w:rPr>
              <w:tab/>
            </w:r>
            <w:r>
              <w:rPr>
                <w:rFonts w:ascii="Book Antiqua" w:hAnsi="Book Antiqua"/>
                <w:noProof/>
                <w:webHidden/>
              </w:rPr>
              <w:t>4</w:t>
            </w:r>
          </w:hyperlink>
        </w:p>
        <w:p w14:paraId="3134F28C" w14:textId="77777777" w:rsidR="00387950" w:rsidRPr="00387950" w:rsidRDefault="00387950" w:rsidP="00387950"/>
        <w:p w14:paraId="7C378A93" w14:textId="1982A9F9" w:rsidR="00D916FC" w:rsidRPr="00D916FC" w:rsidRDefault="00D916FC" w:rsidP="00D916FC">
          <w:r>
            <w:t xml:space="preserve"> </w:t>
          </w:r>
        </w:p>
        <w:p w14:paraId="5CF9F290" w14:textId="219FFFCC" w:rsidR="00B00BAB" w:rsidRPr="002C70F8" w:rsidRDefault="002815D1">
          <w:pPr>
            <w:rPr>
              <w:rFonts w:asciiTheme="minorHAnsi" w:hAnsiTheme="minorHAnsi" w:cstheme="minorHAnsi"/>
              <w:sz w:val="18"/>
              <w:szCs w:val="18"/>
            </w:rPr>
          </w:pPr>
          <w:r w:rsidRPr="00F03ECE">
            <w:rPr>
              <w:rFonts w:ascii="Book Antiqua" w:hAnsi="Book Antiqua" w:cstheme="minorHAnsi"/>
              <w:sz w:val="18"/>
              <w:szCs w:val="18"/>
            </w:rPr>
            <w:fldChar w:fldCharType="end"/>
          </w:r>
        </w:p>
      </w:sdtContent>
    </w:sdt>
    <w:p w14:paraId="7BDB6902" w14:textId="77777777" w:rsidR="00B00BAB" w:rsidRPr="007A4871" w:rsidRDefault="00B00BAB">
      <w:pPr>
        <w:rPr>
          <w:rFonts w:asciiTheme="minorHAnsi" w:eastAsiaTheme="majorEastAsia" w:hAnsiTheme="minorHAnsi" w:cstheme="minorHAnsi"/>
          <w:b/>
          <w:bCs/>
          <w:sz w:val="18"/>
          <w:szCs w:val="18"/>
        </w:rPr>
      </w:pPr>
      <w:r w:rsidRPr="5EB1A44E">
        <w:rPr>
          <w:rFonts w:asciiTheme="minorHAnsi" w:hAnsiTheme="minorHAnsi"/>
          <w:sz w:val="18"/>
          <w:szCs w:val="18"/>
        </w:rPr>
        <w:br w:type="page"/>
      </w:r>
    </w:p>
    <w:p w14:paraId="57E9AA63" w14:textId="66C017B6" w:rsidR="517825E7" w:rsidRPr="008A3642" w:rsidRDefault="517825E7" w:rsidP="00E816F3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lastRenderedPageBreak/>
        <w:t xml:space="preserve">V tomto dokumentu jsou uvedeny požadavky Objednatele na Společné datové prostředí (dále jen „CDE“). </w:t>
      </w:r>
      <w:r w:rsidRPr="008A3642">
        <w:rPr>
          <w:rFonts w:ascii="Book Antiqua" w:eastAsia="Arial" w:hAnsi="Book Antiqua" w:cs="Arial"/>
          <w:b/>
          <w:bCs/>
        </w:rPr>
        <w:t>Objednatel má vlastní CDE</w:t>
      </w:r>
      <w:r w:rsidR="00F3065F">
        <w:rPr>
          <w:rFonts w:ascii="Book Antiqua" w:eastAsia="Arial" w:hAnsi="Book Antiqua" w:cs="Arial"/>
          <w:b/>
          <w:bCs/>
        </w:rPr>
        <w:t xml:space="preserve"> Proconom</w:t>
      </w:r>
      <w:r w:rsidR="001B7D7D">
        <w:rPr>
          <w:rFonts w:ascii="Book Antiqua" w:eastAsia="Arial" w:hAnsi="Book Antiqua" w:cs="Arial"/>
          <w:b/>
          <w:bCs/>
        </w:rPr>
        <w:t>,</w:t>
      </w:r>
      <w:r w:rsidRPr="008A3642">
        <w:rPr>
          <w:rFonts w:ascii="Book Antiqua" w:eastAsia="Arial" w:hAnsi="Book Antiqua" w:cs="Arial"/>
          <w:b/>
          <w:bCs/>
        </w:rPr>
        <w:t xml:space="preserve"> v němž provozuje projekty a do nějž mají přístup osoby Objednatele.</w:t>
      </w:r>
      <w:r w:rsidRPr="008A3642">
        <w:rPr>
          <w:rFonts w:ascii="Book Antiqua" w:eastAsia="Arial" w:hAnsi="Book Antiqua" w:cs="Arial"/>
        </w:rPr>
        <w:t xml:space="preserve"> Zhotovitel zajistí kompatibilitu mezi použitím CDE </w:t>
      </w:r>
      <w:r w:rsidR="001B6D19">
        <w:rPr>
          <w:rFonts w:ascii="Book Antiqua" w:eastAsia="Arial" w:hAnsi="Book Antiqua" w:cs="Arial"/>
        </w:rPr>
        <w:t xml:space="preserve">Zhotovitele </w:t>
      </w:r>
      <w:r w:rsidRPr="008A3642">
        <w:rPr>
          <w:rFonts w:ascii="Book Antiqua" w:eastAsia="Arial" w:hAnsi="Book Antiqua" w:cs="Arial"/>
        </w:rPr>
        <w:t>a CDE Objednatele. Tato kompatibilita může být zajištěna prostřednictvím API.  Zhotovitelem zvolené CDE bude splňovat požadavky uvedené v tomto dokumentu.</w:t>
      </w:r>
      <w:r w:rsidR="00F3065F">
        <w:rPr>
          <w:rFonts w:ascii="Book Antiqua" w:eastAsia="Arial" w:hAnsi="Book Antiqua" w:cs="Arial"/>
        </w:rPr>
        <w:t xml:space="preserve"> </w:t>
      </w:r>
    </w:p>
    <w:p w14:paraId="00D7BE08" w14:textId="7A5BBB67" w:rsidR="517825E7" w:rsidRPr="008A3642" w:rsidRDefault="002114D5" w:rsidP="00AF64AE">
      <w:pPr>
        <w:ind w:firstLine="709"/>
        <w:contextualSpacing/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 xml:space="preserve">Pro veškerou oficiální komunikaci mezi Objednatelem a Zhotovitelem, a naopak, v rámci stavby </w:t>
      </w:r>
      <w:r w:rsidR="00781C7E" w:rsidRPr="00781C7E">
        <w:rPr>
          <w:rFonts w:ascii="Book Antiqua" w:eastAsia="Arial" w:hAnsi="Book Antiqua" w:cs="Arial"/>
        </w:rPr>
        <w:t>„</w:t>
      </w:r>
      <w:r w:rsidR="00FA2C51">
        <w:rPr>
          <w:rFonts w:ascii="Book Antiqua" w:eastAsia="Arial" w:hAnsi="Book Antiqua" w:cs="Arial"/>
        </w:rPr>
        <w:t xml:space="preserve">Silnice II/606 </w:t>
      </w:r>
      <w:proofErr w:type="gramStart"/>
      <w:r w:rsidR="00FA2C51">
        <w:rPr>
          <w:rFonts w:ascii="Book Antiqua" w:eastAsia="Arial" w:hAnsi="Book Antiqua" w:cs="Arial"/>
        </w:rPr>
        <w:t>Cheb - Pomezí</w:t>
      </w:r>
      <w:proofErr w:type="gramEnd"/>
      <w:r w:rsidR="00781C7E" w:rsidRPr="00781C7E">
        <w:rPr>
          <w:rFonts w:ascii="Book Antiqua" w:eastAsia="Arial" w:hAnsi="Book Antiqua" w:cs="Arial"/>
        </w:rPr>
        <w:t>“</w:t>
      </w:r>
      <w:r>
        <w:rPr>
          <w:rFonts w:ascii="Book Antiqua" w:eastAsia="Arial" w:hAnsi="Book Antiqua" w:cs="Arial"/>
        </w:rPr>
        <w:t xml:space="preserve"> bude sloužit společné datové prostředí CDE Objednatele. </w:t>
      </w:r>
      <w:r w:rsidR="517825E7" w:rsidRPr="008A3642">
        <w:rPr>
          <w:rFonts w:ascii="Book Antiqua" w:eastAsia="Arial" w:hAnsi="Book Antiqua" w:cs="Arial"/>
        </w:rPr>
        <w:t xml:space="preserve">Zhotovitel zajistí </w:t>
      </w:r>
      <w:r>
        <w:rPr>
          <w:rFonts w:ascii="Book Antiqua" w:eastAsia="Arial" w:hAnsi="Book Antiqua" w:cs="Arial"/>
        </w:rPr>
        <w:t>kompatibilitu a přenos dat a dokumentů do systému CDE Objednatele.</w:t>
      </w:r>
      <w:r w:rsidR="00E816F3">
        <w:rPr>
          <w:rFonts w:ascii="Book Antiqua" w:eastAsia="Arial" w:hAnsi="Book Antiqua" w:cs="Arial"/>
        </w:rPr>
        <w:t xml:space="preserve"> </w:t>
      </w:r>
    </w:p>
    <w:p w14:paraId="71B6640C" w14:textId="0703D7E8" w:rsidR="00BE04A4" w:rsidRDefault="517825E7" w:rsidP="00BE04A4">
      <w:pPr>
        <w:pStyle w:val="Nadpis1"/>
        <w:rPr>
          <w:rFonts w:ascii="Book Antiqua" w:eastAsia="Arial" w:hAnsi="Book Antiqua" w:cs="Arial"/>
          <w:sz w:val="24"/>
          <w:szCs w:val="24"/>
        </w:rPr>
      </w:pPr>
      <w:bookmarkStart w:id="0" w:name="_Toc65664795"/>
      <w:r w:rsidRPr="006011D1">
        <w:rPr>
          <w:rFonts w:ascii="Book Antiqua" w:eastAsia="Arial" w:hAnsi="Book Antiqua" w:cs="Arial"/>
          <w:sz w:val="24"/>
          <w:szCs w:val="24"/>
        </w:rPr>
        <w:t>1</w:t>
      </w:r>
      <w:r w:rsidRPr="008A3642">
        <w:rPr>
          <w:rFonts w:ascii="Book Antiqua" w:eastAsia="Arial" w:hAnsi="Book Antiqua" w:cs="Arial"/>
          <w:b w:val="0"/>
          <w:bCs w:val="0"/>
          <w:sz w:val="24"/>
          <w:szCs w:val="24"/>
        </w:rPr>
        <w:t>.</w:t>
      </w:r>
      <w:r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 w:rsidRPr="008A3642">
        <w:rPr>
          <w:rFonts w:ascii="Book Antiqua" w:eastAsia="Arial" w:hAnsi="Book Antiqua" w:cs="Arial"/>
          <w:sz w:val="24"/>
          <w:szCs w:val="24"/>
        </w:rPr>
        <w:t>API CDE Objednatele</w:t>
      </w:r>
      <w:bookmarkEnd w:id="0"/>
    </w:p>
    <w:p w14:paraId="397EA02B" w14:textId="77777777" w:rsidR="00C817F3" w:rsidRPr="00C817F3" w:rsidRDefault="00C817F3" w:rsidP="00C817F3">
      <w:pPr>
        <w:contextualSpacing/>
      </w:pPr>
    </w:p>
    <w:p w14:paraId="11EBD478" w14:textId="77777777" w:rsidR="00BC7844" w:rsidRDefault="00BC7844" w:rsidP="00BC7844">
      <w:pPr>
        <w:ind w:firstLine="709"/>
        <w:contextualSpacing/>
        <w:jc w:val="both"/>
        <w:rPr>
          <w:rFonts w:ascii="Book Antiqua" w:hAnsi="Book Antiqua"/>
        </w:rPr>
      </w:pPr>
      <w:bookmarkStart w:id="1" w:name="_Toc65664797"/>
      <w:r w:rsidRPr="001F5F97">
        <w:rPr>
          <w:rFonts w:ascii="Book Antiqua" w:hAnsi="Book Antiqua"/>
        </w:rPr>
        <w:t xml:space="preserve">CDE Objednatele </w:t>
      </w:r>
      <w:r>
        <w:rPr>
          <w:rFonts w:ascii="Book Antiqua" w:hAnsi="Book Antiqua"/>
        </w:rPr>
        <w:t xml:space="preserve">splňuje definici standardu OpenAPI. Tento standard popisuje API ve strojově čitelném formátu. Díky tomu lze jednoduše vytvořit propojení s jinými nástroji (programy), které toto rozhraní </w:t>
      </w:r>
      <w:proofErr w:type="gramStart"/>
      <w:r>
        <w:rPr>
          <w:rFonts w:ascii="Book Antiqua" w:hAnsi="Book Antiqua"/>
        </w:rPr>
        <w:t>dokáží</w:t>
      </w:r>
      <w:proofErr w:type="gramEnd"/>
      <w:r>
        <w:rPr>
          <w:rFonts w:ascii="Book Antiqua" w:hAnsi="Book Antiqua"/>
        </w:rPr>
        <w:t xml:space="preserve"> využít.</w:t>
      </w:r>
    </w:p>
    <w:p w14:paraId="1F42A848" w14:textId="77777777" w:rsidR="00BC7844" w:rsidRPr="001F5F97" w:rsidRDefault="00BC7844" w:rsidP="00BC7844">
      <w:pPr>
        <w:ind w:firstLine="709"/>
        <w:contextualSpacing/>
        <w:rPr>
          <w:rFonts w:ascii="Book Antiqua" w:hAnsi="Book Antiqua"/>
        </w:rPr>
      </w:pPr>
    </w:p>
    <w:p w14:paraId="5B3E9DD5" w14:textId="77777777" w:rsidR="00BC7844" w:rsidRPr="00D916FC" w:rsidRDefault="00BC7844" w:rsidP="00BC7844">
      <w:pPr>
        <w:ind w:firstLine="709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Bližší informace ke standardu OpenAPI</w:t>
      </w:r>
      <w:r w:rsidRPr="00D916FC">
        <w:rPr>
          <w:rFonts w:ascii="Book Antiqua" w:eastAsia="Arial" w:hAnsi="Book Antiqua" w:cs="Arial"/>
        </w:rPr>
        <w:t xml:space="preserve"> j</w:t>
      </w:r>
      <w:r>
        <w:rPr>
          <w:rFonts w:ascii="Book Antiqua" w:eastAsia="Arial" w:hAnsi="Book Antiqua" w:cs="Arial"/>
        </w:rPr>
        <w:t>sou</w:t>
      </w:r>
      <w:r w:rsidRPr="00D916FC">
        <w:rPr>
          <w:rFonts w:ascii="Book Antiqua" w:eastAsia="Arial" w:hAnsi="Book Antiqua" w:cs="Arial"/>
        </w:rPr>
        <w:t xml:space="preserve"> k dispozici na webové adrese:</w:t>
      </w:r>
    </w:p>
    <w:bookmarkStart w:id="2" w:name="_Toc65664796"/>
    <w:p w14:paraId="0C39DFC1" w14:textId="77777777" w:rsidR="00BC7844" w:rsidRDefault="00BC7844" w:rsidP="00BC7844">
      <w:pPr>
        <w:ind w:firstLine="2127"/>
      </w:pPr>
      <w:r w:rsidRPr="00D916FC">
        <w:fldChar w:fldCharType="begin"/>
      </w:r>
      <w:r w:rsidRPr="00D916FC">
        <w:instrText xml:space="preserve"> HYPERLINK "https://api.digitalita.cz/" </w:instrText>
      </w:r>
      <w:r w:rsidRPr="00D916FC">
        <w:fldChar w:fldCharType="separate"/>
      </w:r>
      <w:r w:rsidRPr="00D916FC">
        <w:rPr>
          <w:rStyle w:val="Hypertextovodkaz"/>
          <w:color w:val="auto"/>
        </w:rPr>
        <w:t>https://</w:t>
      </w:r>
      <w:r>
        <w:rPr>
          <w:rStyle w:val="Hypertextovodkaz"/>
          <w:color w:val="auto"/>
        </w:rPr>
        <w:t>openapis.org</w:t>
      </w:r>
      <w:r w:rsidRPr="00D916FC">
        <w:rPr>
          <w:rStyle w:val="Hypertextovodkaz"/>
          <w:color w:val="auto"/>
        </w:rPr>
        <w:t>/</w:t>
      </w:r>
      <w:r w:rsidRPr="00D916FC">
        <w:fldChar w:fldCharType="end"/>
      </w:r>
    </w:p>
    <w:p w14:paraId="2349ADC1" w14:textId="77777777" w:rsidR="00BC7844" w:rsidRPr="002114D5" w:rsidRDefault="00BC7844" w:rsidP="00BC7844">
      <w:pPr>
        <w:ind w:firstLine="567"/>
        <w:rPr>
          <w:rFonts w:ascii="Book Antiqua" w:hAnsi="Book Antiqua"/>
        </w:rPr>
      </w:pPr>
      <w:r w:rsidRPr="002114D5">
        <w:rPr>
          <w:rFonts w:ascii="Book Antiqua" w:hAnsi="Book Antiqua"/>
        </w:rPr>
        <w:t>Pokud bude komunikace mezi systémem CDE Objednatele a CDE Zhotovitele probíhat prostřednictvím API, pak jejich zajištění a vytvoření</w:t>
      </w:r>
      <w:r>
        <w:rPr>
          <w:rFonts w:ascii="Book Antiqua" w:hAnsi="Book Antiqua"/>
        </w:rPr>
        <w:t xml:space="preserve"> provede Zhotovitel na své náklady.</w:t>
      </w:r>
    </w:p>
    <w:bookmarkEnd w:id="2"/>
    <w:p w14:paraId="594C15A0" w14:textId="187785BF" w:rsidR="517825E7" w:rsidRDefault="00E8678C" w:rsidP="5EB1A44E">
      <w:pPr>
        <w:pStyle w:val="Nadpis1"/>
        <w:rPr>
          <w:rFonts w:ascii="Book Antiqua" w:eastAsia="Arial" w:hAnsi="Book Antiqua" w:cs="Arial"/>
          <w:sz w:val="24"/>
          <w:szCs w:val="24"/>
        </w:rPr>
      </w:pPr>
      <w:r>
        <w:rPr>
          <w:rFonts w:ascii="Book Antiqua" w:eastAsia="Arial" w:hAnsi="Book Antiqua" w:cs="Arial"/>
          <w:sz w:val="24"/>
          <w:szCs w:val="24"/>
        </w:rPr>
        <w:t>2</w:t>
      </w:r>
      <w:r w:rsidR="517825E7" w:rsidRPr="008A3642">
        <w:rPr>
          <w:rFonts w:ascii="Book Antiqua" w:eastAsia="Arial" w:hAnsi="Book Antiqua" w:cs="Arial"/>
          <w:b w:val="0"/>
          <w:bCs w:val="0"/>
          <w:sz w:val="24"/>
          <w:szCs w:val="24"/>
        </w:rPr>
        <w:t>.</w:t>
      </w:r>
      <w:r w:rsidR="517825E7"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 w:rsidR="517825E7" w:rsidRPr="008A3642">
        <w:rPr>
          <w:rFonts w:ascii="Book Antiqua" w:eastAsia="Arial" w:hAnsi="Book Antiqua" w:cs="Arial"/>
          <w:sz w:val="24"/>
          <w:szCs w:val="24"/>
        </w:rPr>
        <w:t>Funkční požadavky</w:t>
      </w:r>
      <w:bookmarkEnd w:id="1"/>
    </w:p>
    <w:p w14:paraId="498B9D58" w14:textId="77777777" w:rsidR="00177078" w:rsidRPr="00177078" w:rsidRDefault="00177078" w:rsidP="00177078">
      <w:pPr>
        <w:contextualSpacing/>
      </w:pPr>
    </w:p>
    <w:p w14:paraId="05C0F6EE" w14:textId="0082D422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Stažení souborů a složek na úložiště mimo CDE.</w:t>
      </w:r>
    </w:p>
    <w:p w14:paraId="7066599C" w14:textId="187EA48F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Revize souborů a složek.</w:t>
      </w:r>
    </w:p>
    <w:p w14:paraId="20736307" w14:textId="15C6F84E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Integrované prohlížení souborů s příponami (.pdf</w:t>
      </w:r>
      <w:proofErr w:type="gramStart"/>
      <w:r w:rsidRPr="008A3642">
        <w:rPr>
          <w:rFonts w:ascii="Book Antiqua" w:eastAsia="Arial" w:hAnsi="Book Antiqua" w:cs="Arial"/>
        </w:rPr>
        <w:t>, .</w:t>
      </w:r>
      <w:proofErr w:type="gramEnd"/>
      <w:r w:rsidRPr="008A3642">
        <w:rPr>
          <w:rFonts w:ascii="Book Antiqua" w:eastAsia="Arial" w:hAnsi="Book Antiqua" w:cs="Arial"/>
        </w:rPr>
        <w:t>txt,.)</w:t>
      </w:r>
      <w:r w:rsidR="00AD65C5">
        <w:rPr>
          <w:rFonts w:ascii="Book Antiqua" w:eastAsia="Arial" w:hAnsi="Book Antiqua" w:cs="Arial"/>
        </w:rPr>
        <w:t>.</w:t>
      </w:r>
    </w:p>
    <w:p w14:paraId="21938178" w14:textId="0D3085C8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Integrované prohlížení Informačního modelu stavby</w:t>
      </w:r>
      <w:r w:rsidR="00AD65C5">
        <w:rPr>
          <w:rFonts w:ascii="Book Antiqua" w:eastAsia="Arial" w:hAnsi="Book Antiqua" w:cs="Arial"/>
        </w:rPr>
        <w:t>.</w:t>
      </w:r>
    </w:p>
    <w:p w14:paraId="6CB66005" w14:textId="211A8432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Práce s dokumenty bez ohledu na jejich formát nebo příponu.</w:t>
      </w:r>
    </w:p>
    <w:p w14:paraId="37C0B444" w14:textId="64CFC6C3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Správa jednotlivých verzí dokumentů, jejich přístupnost v rámci systému.</w:t>
      </w:r>
    </w:p>
    <w:p w14:paraId="43536429" w14:textId="78E03242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Tvorba vlastních pracovních postupů souvisejících s dokumenty.</w:t>
      </w:r>
    </w:p>
    <w:p w14:paraId="0B0535BB" w14:textId="0513F1BF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Notifikace na dokumenty.</w:t>
      </w:r>
    </w:p>
    <w:p w14:paraId="6D65B4D7" w14:textId="1E63A725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Vyhledávání v datech, full-text u dokumentu ve formátu DOC, XLS a PDF.</w:t>
      </w:r>
    </w:p>
    <w:p w14:paraId="7080DF66" w14:textId="7163B4AF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Filtrování, vhodná zobrazení dat v rámci aplikace filtru.</w:t>
      </w:r>
    </w:p>
    <w:p w14:paraId="16D8D98A" w14:textId="7F0CDE86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Audity dokumentů.</w:t>
      </w:r>
    </w:p>
    <w:p w14:paraId="5DE09AAD" w14:textId="27F94960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lastRenderedPageBreak/>
        <w:t>Správa uživatelských rolí a oprávnění.</w:t>
      </w:r>
    </w:p>
    <w:p w14:paraId="3B6ED9A2" w14:textId="4383AD4C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 xml:space="preserve">Definice a správa defaultních pracovních postupů (podpora pracovních </w:t>
      </w:r>
      <w:proofErr w:type="gramStart"/>
      <w:r w:rsidRPr="008A3642">
        <w:rPr>
          <w:rFonts w:ascii="Book Antiqua" w:eastAsia="Arial" w:hAnsi="Book Antiqua" w:cs="Arial"/>
        </w:rPr>
        <w:t>postupů - workflow</w:t>
      </w:r>
      <w:proofErr w:type="gramEnd"/>
      <w:r w:rsidRPr="008A3642">
        <w:rPr>
          <w:rFonts w:ascii="Book Antiqua" w:eastAsia="Arial" w:hAnsi="Book Antiqua" w:cs="Arial"/>
        </w:rPr>
        <w:t>).</w:t>
      </w:r>
    </w:p>
    <w:p w14:paraId="0C58829E" w14:textId="6631101F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Práce s číselníky.</w:t>
      </w:r>
    </w:p>
    <w:p w14:paraId="408AE059" w14:textId="31CE52A5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Nastavení oprávnění dle požadavků Objednatele.</w:t>
      </w:r>
    </w:p>
    <w:p w14:paraId="3040F1BC" w14:textId="71D91DD8" w:rsidR="517825E7" w:rsidRPr="008A3642" w:rsidRDefault="517825E7" w:rsidP="5EB1A44E">
      <w:pPr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Přístup externím uživatelům do vyhrazeného prostoru a k vyhrazeným složkám</w:t>
      </w:r>
      <w:r w:rsidR="00E8678C">
        <w:rPr>
          <w:rFonts w:ascii="Book Antiqua" w:eastAsia="Arial" w:hAnsi="Book Antiqua" w:cs="Arial"/>
        </w:rPr>
        <w:t xml:space="preserve"> pouze na základě schválení Objednatele.</w:t>
      </w:r>
    </w:p>
    <w:p w14:paraId="4B4852EF" w14:textId="14A263BD" w:rsidR="517825E7" w:rsidRPr="00812330" w:rsidRDefault="00E8678C" w:rsidP="5EB1A44E">
      <w:pPr>
        <w:pStyle w:val="Nadpis1"/>
        <w:rPr>
          <w:rFonts w:ascii="Book Antiqua" w:eastAsia="Arial" w:hAnsi="Book Antiqua" w:cs="Arial"/>
          <w:sz w:val="24"/>
          <w:szCs w:val="24"/>
        </w:rPr>
      </w:pPr>
      <w:bookmarkStart w:id="3" w:name="_Toc65664798"/>
      <w:r>
        <w:rPr>
          <w:rFonts w:ascii="Book Antiqua" w:eastAsia="Arial" w:hAnsi="Book Antiqua" w:cs="Arial"/>
          <w:sz w:val="24"/>
          <w:szCs w:val="24"/>
        </w:rPr>
        <w:t>3</w:t>
      </w:r>
      <w:r w:rsidR="517825E7" w:rsidRPr="00812330">
        <w:rPr>
          <w:rFonts w:ascii="Book Antiqua" w:eastAsia="Arial" w:hAnsi="Book Antiqua" w:cs="Arial"/>
          <w:sz w:val="24"/>
          <w:szCs w:val="24"/>
        </w:rPr>
        <w:t>.</w:t>
      </w:r>
      <w:r w:rsidR="517825E7" w:rsidRPr="00812330">
        <w:rPr>
          <w:rFonts w:ascii="Book Antiqua" w:eastAsia="Times New Roman" w:hAnsi="Book Antiqua" w:cs="Times New Roman"/>
          <w:sz w:val="14"/>
          <w:szCs w:val="14"/>
        </w:rPr>
        <w:t xml:space="preserve">     </w:t>
      </w:r>
      <w:r w:rsidR="517825E7" w:rsidRPr="00812330">
        <w:rPr>
          <w:rFonts w:ascii="Book Antiqua" w:eastAsia="Arial" w:hAnsi="Book Antiqua" w:cs="Arial"/>
          <w:sz w:val="24"/>
          <w:szCs w:val="24"/>
        </w:rPr>
        <w:t>Adresářová struktura</w:t>
      </w:r>
      <w:bookmarkEnd w:id="3"/>
    </w:p>
    <w:p w14:paraId="49F11984" w14:textId="77777777" w:rsidR="00812330" w:rsidRPr="00812330" w:rsidRDefault="00812330" w:rsidP="00812330">
      <w:pPr>
        <w:contextualSpacing/>
      </w:pPr>
    </w:p>
    <w:p w14:paraId="59EF202F" w14:textId="2B70C514" w:rsidR="517825E7" w:rsidRPr="008A3642" w:rsidRDefault="517825E7" w:rsidP="00812330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 xml:space="preserve">Adresářová struktura bude </w:t>
      </w:r>
      <w:r w:rsidR="00E8678C">
        <w:rPr>
          <w:rFonts w:ascii="Book Antiqua" w:eastAsia="Arial" w:hAnsi="Book Antiqua" w:cs="Arial"/>
        </w:rPr>
        <w:t xml:space="preserve">přednastavena </w:t>
      </w:r>
      <w:r w:rsidRPr="008A3642">
        <w:rPr>
          <w:rFonts w:ascii="Book Antiqua" w:eastAsia="Arial" w:hAnsi="Book Antiqua" w:cs="Arial"/>
        </w:rPr>
        <w:t xml:space="preserve">Objednatelem </w:t>
      </w:r>
      <w:r w:rsidR="00E8678C">
        <w:rPr>
          <w:rFonts w:ascii="Book Antiqua" w:eastAsia="Arial" w:hAnsi="Book Antiqua" w:cs="Arial"/>
        </w:rPr>
        <w:t xml:space="preserve">v CDE Objednatele a může být poskytnuta </w:t>
      </w:r>
      <w:r w:rsidRPr="008A3642">
        <w:rPr>
          <w:rFonts w:ascii="Book Antiqua" w:eastAsia="Arial" w:hAnsi="Book Antiqua" w:cs="Arial"/>
        </w:rPr>
        <w:t xml:space="preserve">na základě vyžádání Zhotovitele do 10 dní od jejího vyžádání. Jedná se o adresářovou strukturu, kterou je povinen Zhotovitel dodržovat. </w:t>
      </w:r>
      <w:r w:rsidR="00E8678C">
        <w:rPr>
          <w:rFonts w:ascii="Book Antiqua" w:eastAsia="Arial" w:hAnsi="Book Antiqua" w:cs="Arial"/>
        </w:rPr>
        <w:t>Ukládání jednotlivých dokumentů, dat a procesů bude probíhat na základě odsouhlasení Objednatele.</w:t>
      </w:r>
    </w:p>
    <w:p w14:paraId="6AC49875" w14:textId="0268A56B" w:rsidR="517825E7" w:rsidRDefault="00E8678C" w:rsidP="5EB1A44E">
      <w:pPr>
        <w:pStyle w:val="Nadpis1"/>
        <w:rPr>
          <w:rFonts w:ascii="Book Antiqua" w:eastAsia="Arial" w:hAnsi="Book Antiqua" w:cs="Arial"/>
          <w:sz w:val="24"/>
          <w:szCs w:val="24"/>
        </w:rPr>
      </w:pPr>
      <w:bookmarkStart w:id="4" w:name="_Toc65664799"/>
      <w:r>
        <w:rPr>
          <w:rFonts w:ascii="Book Antiqua" w:eastAsia="Arial" w:hAnsi="Book Antiqua" w:cs="Arial"/>
          <w:sz w:val="24"/>
          <w:szCs w:val="24"/>
        </w:rPr>
        <w:t>4</w:t>
      </w:r>
      <w:r w:rsidR="517825E7" w:rsidRPr="00FA2A75">
        <w:rPr>
          <w:rFonts w:ascii="Book Antiqua" w:eastAsia="Arial" w:hAnsi="Book Antiqua" w:cs="Arial"/>
          <w:sz w:val="24"/>
          <w:szCs w:val="24"/>
        </w:rPr>
        <w:t>.</w:t>
      </w:r>
      <w:r w:rsidR="517825E7"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 w:rsidR="517825E7" w:rsidRPr="008A3642">
        <w:rPr>
          <w:rFonts w:ascii="Book Antiqua" w:eastAsia="Arial" w:hAnsi="Book Antiqua" w:cs="Arial"/>
          <w:sz w:val="24"/>
          <w:szCs w:val="24"/>
        </w:rPr>
        <w:t>Bezpečnostní požadavky</w:t>
      </w:r>
      <w:bookmarkEnd w:id="4"/>
    </w:p>
    <w:p w14:paraId="5EF68626" w14:textId="77777777" w:rsidR="00FA2A75" w:rsidRPr="00FA2A75" w:rsidRDefault="00FA2A75" w:rsidP="00FA2A75">
      <w:pPr>
        <w:contextualSpacing/>
      </w:pPr>
    </w:p>
    <w:p w14:paraId="0A7EADE8" w14:textId="0B68C1D1" w:rsidR="517825E7" w:rsidRPr="008A3642" w:rsidRDefault="517825E7" w:rsidP="00387950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Systém</w:t>
      </w:r>
      <w:r w:rsidR="00E8678C">
        <w:rPr>
          <w:rFonts w:ascii="Book Antiqua" w:eastAsia="Arial" w:hAnsi="Book Antiqua" w:cs="Arial"/>
        </w:rPr>
        <w:t xml:space="preserve"> CDE Objednatele </w:t>
      </w:r>
      <w:r w:rsidRPr="008A3642">
        <w:rPr>
          <w:rFonts w:ascii="Book Antiqua" w:eastAsia="Arial" w:hAnsi="Book Antiqua" w:cs="Arial"/>
        </w:rPr>
        <w:t>zaznamenává auditní logy a umožňuje zástupcům Objednatele přístup k těmto informacím, které musí zahrnovat všechny informace o úpravách všech uložených souborů</w:t>
      </w:r>
      <w:r w:rsidR="00387950">
        <w:rPr>
          <w:rFonts w:ascii="Book Antiqua" w:eastAsia="Arial" w:hAnsi="Book Antiqua" w:cs="Arial"/>
        </w:rPr>
        <w:t xml:space="preserve"> </w:t>
      </w:r>
      <w:r w:rsidRPr="008A3642">
        <w:rPr>
          <w:rFonts w:ascii="Book Antiqua" w:eastAsia="Arial" w:hAnsi="Book Antiqua" w:cs="Arial"/>
        </w:rPr>
        <w:t>a jejich metadat včetně informace, kdo se souborem manipuloval.</w:t>
      </w:r>
    </w:p>
    <w:p w14:paraId="05F94FB5" w14:textId="12674C50" w:rsidR="517825E7" w:rsidRPr="008A3642" w:rsidRDefault="517825E7" w:rsidP="00FA2A75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Systém zaznamenává logy obsahující přihlašování/odhlašování uživatelů a umožňuje zástupcům Objednatele přístup k těmto informacím, které musí zahrnovat zejména časové razítko, přihlašovací jméno, IP adresu uživatele a popis události.</w:t>
      </w:r>
    </w:p>
    <w:p w14:paraId="15F368ED" w14:textId="405252F1" w:rsidR="517825E7" w:rsidRPr="008A3642" w:rsidRDefault="517825E7" w:rsidP="00FA2A75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Systém zaznamenává logy řešení pro ochranu před škodlivým kódem, v případě webové aplikace také logy řešení pro ochranu webových aplikací.</w:t>
      </w:r>
    </w:p>
    <w:p w14:paraId="0426776D" w14:textId="4105B9BC" w:rsidR="517825E7" w:rsidRPr="008A3642" w:rsidRDefault="517825E7" w:rsidP="00FA2A75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Systém podporuje a vynucuje přístup přes šifrované spojení prostřednictvím webového prohlížeče (HTTPS) pro přístup k veškerým uloženým informacím. Použitý certifikát pro tento účel musí být podepsán důvěryhodnou kořenovou certifikační autoritou.</w:t>
      </w:r>
    </w:p>
    <w:p w14:paraId="6DE27834" w14:textId="32AAF7E5" w:rsidR="517825E7" w:rsidRPr="008A3642" w:rsidRDefault="517825E7" w:rsidP="003E4B6C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V případě vyžádání Objednatele podepíše Zhotovitel dohodu o mlčenlivosti (NDA) týkající se prací na projektu.</w:t>
      </w:r>
    </w:p>
    <w:p w14:paraId="0CCC09F3" w14:textId="287819E2" w:rsidR="517825E7" w:rsidRDefault="517825E7" w:rsidP="00631D90">
      <w:pPr>
        <w:ind w:firstLine="708"/>
        <w:jc w:val="both"/>
        <w:rPr>
          <w:rFonts w:ascii="Book Antiqua" w:eastAsia="Arial" w:hAnsi="Book Antiqua" w:cs="Arial"/>
        </w:rPr>
      </w:pPr>
      <w:r w:rsidRPr="008A3642">
        <w:rPr>
          <w:rFonts w:ascii="Book Antiqua" w:eastAsia="Arial" w:hAnsi="Book Antiqua" w:cs="Arial"/>
        </w:rPr>
        <w:t>Z pohledu důvěrnosti se s informac</w:t>
      </w:r>
      <w:r w:rsidR="00387950">
        <w:rPr>
          <w:rFonts w:ascii="Book Antiqua" w:eastAsia="Arial" w:hAnsi="Book Antiqua" w:cs="Arial"/>
        </w:rPr>
        <w:t>emi</w:t>
      </w:r>
      <w:r w:rsidRPr="008A3642">
        <w:rPr>
          <w:rFonts w:ascii="Book Antiqua" w:eastAsia="Arial" w:hAnsi="Book Antiqua" w:cs="Arial"/>
        </w:rPr>
        <w:t xml:space="preserve"> může seznámit pouze jakýkoliv zaměstnanec Objednatele, nebo jejich konzultanti a pověřené osoby, nebo </w:t>
      </w:r>
      <w:r w:rsidR="00387950">
        <w:rPr>
          <w:rFonts w:ascii="Book Antiqua" w:eastAsia="Arial" w:hAnsi="Book Antiqua" w:cs="Arial"/>
        </w:rPr>
        <w:t xml:space="preserve">oprávněné </w:t>
      </w:r>
      <w:r w:rsidRPr="008A3642">
        <w:rPr>
          <w:rFonts w:ascii="Book Antiqua" w:eastAsia="Arial" w:hAnsi="Book Antiqua" w:cs="Arial"/>
        </w:rPr>
        <w:t xml:space="preserve">osoby Zhotovitele. Ostatní osoby musí být schváleny </w:t>
      </w:r>
      <w:r w:rsidR="00387950">
        <w:rPr>
          <w:rFonts w:ascii="Book Antiqua" w:eastAsia="Arial" w:hAnsi="Book Antiqua" w:cs="Arial"/>
        </w:rPr>
        <w:t>O</w:t>
      </w:r>
      <w:r w:rsidRPr="008A3642">
        <w:rPr>
          <w:rFonts w:ascii="Book Antiqua" w:eastAsia="Arial" w:hAnsi="Book Antiqua" w:cs="Arial"/>
        </w:rPr>
        <w:t>bjednatelem.</w:t>
      </w:r>
    </w:p>
    <w:p w14:paraId="7E1A7900" w14:textId="77777777" w:rsidR="00631D90" w:rsidRDefault="00631D90" w:rsidP="00631D90">
      <w:pPr>
        <w:ind w:firstLine="708"/>
        <w:jc w:val="both"/>
        <w:rPr>
          <w:rFonts w:ascii="Book Antiqua" w:eastAsia="Arial" w:hAnsi="Book Antiqua" w:cs="Arial"/>
        </w:rPr>
      </w:pPr>
    </w:p>
    <w:p w14:paraId="1737754F" w14:textId="77777777" w:rsidR="00631D90" w:rsidRPr="00631D90" w:rsidRDefault="00631D90" w:rsidP="00631D90">
      <w:pPr>
        <w:ind w:firstLine="708"/>
        <w:jc w:val="both"/>
        <w:rPr>
          <w:rFonts w:ascii="Book Antiqua" w:eastAsia="Arial" w:hAnsi="Book Antiqua" w:cs="Arial"/>
        </w:rPr>
      </w:pPr>
    </w:p>
    <w:p w14:paraId="52D25747" w14:textId="6001CCD9" w:rsidR="517825E7" w:rsidRDefault="00E8678C" w:rsidP="5EB1A44E">
      <w:pPr>
        <w:pStyle w:val="Nadpis1"/>
        <w:rPr>
          <w:rFonts w:ascii="Book Antiqua" w:eastAsia="Arial" w:hAnsi="Book Antiqua" w:cs="Arial"/>
          <w:sz w:val="24"/>
          <w:szCs w:val="24"/>
        </w:rPr>
      </w:pPr>
      <w:bookmarkStart w:id="5" w:name="_Toc65664800"/>
      <w:r>
        <w:rPr>
          <w:rFonts w:ascii="Book Antiqua" w:eastAsia="Arial" w:hAnsi="Book Antiqua" w:cs="Arial"/>
          <w:sz w:val="24"/>
          <w:szCs w:val="24"/>
        </w:rPr>
        <w:lastRenderedPageBreak/>
        <w:t>5</w:t>
      </w:r>
      <w:r w:rsidR="517825E7" w:rsidRPr="00E11CE4">
        <w:rPr>
          <w:rFonts w:ascii="Book Antiqua" w:eastAsia="Arial" w:hAnsi="Book Antiqua" w:cs="Arial"/>
          <w:sz w:val="24"/>
          <w:szCs w:val="24"/>
        </w:rPr>
        <w:t>.</w:t>
      </w:r>
      <w:r w:rsidR="517825E7"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 w:rsidR="517825E7" w:rsidRPr="008A3642">
        <w:rPr>
          <w:rFonts w:ascii="Book Antiqua" w:eastAsia="Arial" w:hAnsi="Book Antiqua" w:cs="Arial"/>
          <w:sz w:val="24"/>
          <w:szCs w:val="24"/>
        </w:rPr>
        <w:t>Další požadavky</w:t>
      </w:r>
      <w:bookmarkEnd w:id="5"/>
    </w:p>
    <w:p w14:paraId="24C2C655" w14:textId="528AC919" w:rsidR="00E11CE4" w:rsidRPr="00E11CE4" w:rsidRDefault="00E11CE4" w:rsidP="00E11CE4">
      <w:pPr>
        <w:contextualSpacing/>
      </w:pPr>
      <w:r>
        <w:tab/>
      </w:r>
    </w:p>
    <w:p w14:paraId="262E06C3" w14:textId="5A82E354" w:rsidR="517825E7" w:rsidRPr="008A3642" w:rsidRDefault="517825E7" w:rsidP="00E11CE4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 xml:space="preserve">Zhotovitel bude v rámci společného datového prostředí udržovat aktuální dokumenty, informační modely, průzkumy, výkresy, vyjádření, dokumentace dle </w:t>
      </w:r>
      <w:r w:rsidR="0007216E">
        <w:rPr>
          <w:rFonts w:ascii="Book Antiqua" w:eastAsia="Arial" w:hAnsi="Book Antiqua" w:cs="Arial"/>
        </w:rPr>
        <w:t>S</w:t>
      </w:r>
      <w:r w:rsidRPr="008A3642">
        <w:rPr>
          <w:rFonts w:ascii="Book Antiqua" w:eastAsia="Arial" w:hAnsi="Book Antiqua" w:cs="Arial"/>
        </w:rPr>
        <w:t>mlouvy o dílo tak, aby byly k dispozici Objednateli.</w:t>
      </w:r>
    </w:p>
    <w:p w14:paraId="271C2584" w14:textId="2FDB87D7" w:rsidR="517825E7" w:rsidRPr="008A3642" w:rsidRDefault="517825E7" w:rsidP="0007216E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>Uživatelské rozhraní systému je kompletně v českém jazyce.</w:t>
      </w:r>
    </w:p>
    <w:p w14:paraId="51B1BEDE" w14:textId="6D148864" w:rsidR="517825E7" w:rsidRPr="008A3642" w:rsidRDefault="517825E7" w:rsidP="0007216E">
      <w:pPr>
        <w:ind w:firstLine="708"/>
        <w:jc w:val="both"/>
        <w:rPr>
          <w:rFonts w:ascii="Book Antiqua" w:hAnsi="Book Antiqua"/>
        </w:rPr>
      </w:pPr>
      <w:r w:rsidRPr="008A3642">
        <w:rPr>
          <w:rFonts w:ascii="Book Antiqua" w:eastAsia="Arial" w:hAnsi="Book Antiqua" w:cs="Arial"/>
        </w:rPr>
        <w:t xml:space="preserve">CDE systém </w:t>
      </w:r>
      <w:r w:rsidR="00E8678C">
        <w:rPr>
          <w:rFonts w:ascii="Book Antiqua" w:eastAsia="Arial" w:hAnsi="Book Antiqua" w:cs="Arial"/>
        </w:rPr>
        <w:t xml:space="preserve">Objednatele </w:t>
      </w:r>
      <w:r w:rsidRPr="008A3642">
        <w:rPr>
          <w:rFonts w:ascii="Book Antiqua" w:eastAsia="Arial" w:hAnsi="Book Antiqua" w:cs="Arial"/>
        </w:rPr>
        <w:t>zohledňuje následující právní předpisy:</w:t>
      </w:r>
      <w:r w:rsidR="0007216E">
        <w:rPr>
          <w:rFonts w:ascii="Book Antiqua" w:eastAsia="Arial" w:hAnsi="Book Antiqua" w:cs="Arial"/>
        </w:rPr>
        <w:t xml:space="preserve"> </w:t>
      </w:r>
    </w:p>
    <w:p w14:paraId="25FA5DB5" w14:textId="3254BEBE" w:rsidR="517825E7" w:rsidRPr="008A3642" w:rsidRDefault="517825E7" w:rsidP="00054A6A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>zákon č. 499/2004 Sb., o archivnictví a spisové službě a o změně některých zákonů</w:t>
      </w:r>
      <w:r w:rsidR="00054A6A">
        <w:rPr>
          <w:rFonts w:ascii="Book Antiqua" w:eastAsia="Arial" w:hAnsi="Book Antiqua" w:cs="Arial"/>
        </w:rPr>
        <w:t>;</w:t>
      </w:r>
    </w:p>
    <w:p w14:paraId="0E24ADE5" w14:textId="12532751" w:rsidR="517825E7" w:rsidRPr="008A3642" w:rsidRDefault="517825E7" w:rsidP="00054A6A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vyhláška č. 259/2012 Sb., o podrobnostech výkonu spisové služby; </w:t>
      </w:r>
    </w:p>
    <w:p w14:paraId="679EE790" w14:textId="4AA632D7" w:rsidR="517825E7" w:rsidRPr="008A3642" w:rsidRDefault="517825E7" w:rsidP="00054A6A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VMV čá. 57/2017 Národní standard pro elektronické systémy spisové služby; </w:t>
      </w:r>
    </w:p>
    <w:p w14:paraId="3E3BC873" w14:textId="15554251" w:rsidR="517825E7" w:rsidRPr="008A3642" w:rsidRDefault="517825E7" w:rsidP="00054A6A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>zákon č. 300/2008 Sb., o elektronických úkonech a autorizované konverzi dokumentů;</w:t>
      </w:r>
    </w:p>
    <w:p w14:paraId="517C00A5" w14:textId="503E4949" w:rsidR="517825E7" w:rsidRPr="008A3642" w:rsidRDefault="517825E7" w:rsidP="00054A6A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vyhláška č. 193/2009 Sb., o stanovení podrobností provádění autorizované konverze dokumentů; </w:t>
      </w:r>
    </w:p>
    <w:p w14:paraId="2E981D49" w14:textId="5FA65253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zákon č. 365/2000 Sb., o informačních systémech veřejné správy a o změně některých dalších zákonů; </w:t>
      </w:r>
    </w:p>
    <w:p w14:paraId="14A9929F" w14:textId="42F2D7F7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vyhláška č. 529/2006 Sb., o požadavcích na strukturu a obsah informační koncepce </w:t>
      </w:r>
      <w:r w:rsidR="004A5B15">
        <w:rPr>
          <w:rFonts w:ascii="Book Antiqua" w:eastAsia="Arial" w:hAnsi="Book Antiqua" w:cs="Arial"/>
        </w:rPr>
        <w:br/>
      </w:r>
      <w:r w:rsidRPr="008A3642">
        <w:rPr>
          <w:rFonts w:ascii="Book Antiqua" w:eastAsia="Arial" w:hAnsi="Book Antiqua" w:cs="Arial"/>
        </w:rPr>
        <w:t xml:space="preserve">a provozní dokumentace a o požadavcích na řízení bezpečnosti a kvality informačních systémů veřejné správy (vyhláška o dlouhodobém řízení informačních systémů veřejné správy); </w:t>
      </w:r>
    </w:p>
    <w:p w14:paraId="2934AF4E" w14:textId="18236AC8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>zákon č. 297/2016 Sb., o službách vytvářejících důvěru pro elektronické transakce;</w:t>
      </w:r>
    </w:p>
    <w:p w14:paraId="1AAB580D" w14:textId="0554EC7A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 xml:space="preserve">zákon č. 181/2014 Sb., o kybernetické bezpečnosti a o změně souvisejících zákonů (zákon o kybernetické bezpečnosti); </w:t>
      </w:r>
    </w:p>
    <w:p w14:paraId="700B951D" w14:textId="754915D2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>vyhláška č. 82/2018 Sb., o bezpečnostních opatřeních, kybernetických bezpečnostních incidentech, reaktivních opatřeních, náležitostech podání v oblasti kybernetické bezpečnosti a likvidaci dat (vyhláška o kybernetické bezpečnosti</w:t>
      </w:r>
      <w:r w:rsidR="00E00B11">
        <w:rPr>
          <w:rFonts w:ascii="Book Antiqua" w:eastAsia="Arial" w:hAnsi="Book Antiqua" w:cs="Arial"/>
        </w:rPr>
        <w:t>)</w:t>
      </w:r>
      <w:r w:rsidRPr="008A3642">
        <w:rPr>
          <w:rFonts w:ascii="Book Antiqua" w:eastAsia="Arial" w:hAnsi="Book Antiqua" w:cs="Arial"/>
        </w:rPr>
        <w:t>;</w:t>
      </w:r>
    </w:p>
    <w:p w14:paraId="55EB89CE" w14:textId="621BF0B4" w:rsidR="517825E7" w:rsidRPr="008A3642" w:rsidRDefault="517825E7" w:rsidP="5EB1A44E">
      <w:pPr>
        <w:pStyle w:val="Odstavecseseznamem"/>
        <w:numPr>
          <w:ilvl w:val="0"/>
          <w:numId w:val="43"/>
        </w:numPr>
        <w:jc w:val="both"/>
        <w:rPr>
          <w:rFonts w:ascii="Book Antiqua" w:eastAsiaTheme="minorEastAsia" w:hAnsi="Book Antiqua"/>
        </w:rPr>
      </w:pPr>
      <w:r w:rsidRPr="008A3642">
        <w:rPr>
          <w:rFonts w:ascii="Book Antiqua" w:eastAsia="Arial" w:hAnsi="Book Antiqua" w:cs="Arial"/>
        </w:rPr>
        <w:t>Nařízení Evropského parlamentu a rady (EU) 2016/679, obecné nařízení o ochraně osobních údajů (např. dodržením ISO 27001).</w:t>
      </w:r>
    </w:p>
    <w:p w14:paraId="3396FBF4" w14:textId="4B39D078" w:rsidR="00D916FC" w:rsidRDefault="00E8678C" w:rsidP="00D916FC">
      <w:pPr>
        <w:pStyle w:val="Nadpis1"/>
        <w:rPr>
          <w:rFonts w:ascii="Book Antiqua" w:eastAsia="Arial" w:hAnsi="Book Antiqua" w:cs="Arial"/>
          <w:sz w:val="24"/>
          <w:szCs w:val="24"/>
        </w:rPr>
      </w:pPr>
      <w:r>
        <w:rPr>
          <w:rFonts w:ascii="Book Antiqua" w:eastAsia="Arial" w:hAnsi="Book Antiqua" w:cs="Arial"/>
          <w:sz w:val="24"/>
          <w:szCs w:val="24"/>
        </w:rPr>
        <w:t>6</w:t>
      </w:r>
      <w:r w:rsidR="00D916FC" w:rsidRPr="00E11CE4">
        <w:rPr>
          <w:rFonts w:ascii="Book Antiqua" w:eastAsia="Arial" w:hAnsi="Book Antiqua" w:cs="Arial"/>
          <w:sz w:val="24"/>
          <w:szCs w:val="24"/>
        </w:rPr>
        <w:t>.</w:t>
      </w:r>
      <w:r w:rsidR="00D916FC"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 w:rsidR="00D916FC">
        <w:rPr>
          <w:rFonts w:ascii="Book Antiqua" w:eastAsia="Arial" w:hAnsi="Book Antiqua" w:cs="Arial"/>
          <w:sz w:val="24"/>
          <w:szCs w:val="24"/>
        </w:rPr>
        <w:t>Licenční podmínky CDE Proconom</w:t>
      </w:r>
    </w:p>
    <w:p w14:paraId="5673CD47" w14:textId="77777777" w:rsidR="00D916FC" w:rsidRDefault="00D916FC" w:rsidP="00F3065F">
      <w:pPr>
        <w:jc w:val="both"/>
        <w:rPr>
          <w:rFonts w:ascii="Book Antiqua" w:eastAsia="Arial" w:hAnsi="Book Antiqua" w:cs="Arial"/>
        </w:rPr>
      </w:pPr>
    </w:p>
    <w:p w14:paraId="2F1C72F7" w14:textId="07C2041E" w:rsidR="000E56FA" w:rsidRDefault="00F3065F" w:rsidP="00387950">
      <w:pPr>
        <w:ind w:firstLine="709"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V případě, že </w:t>
      </w:r>
      <w:r w:rsidR="00E8678C">
        <w:rPr>
          <w:rFonts w:ascii="Book Antiqua" w:eastAsia="Arial" w:hAnsi="Book Antiqua" w:cs="Arial"/>
        </w:rPr>
        <w:t>Z</w:t>
      </w:r>
      <w:r>
        <w:rPr>
          <w:rFonts w:ascii="Book Antiqua" w:eastAsia="Arial" w:hAnsi="Book Antiqua" w:cs="Arial"/>
        </w:rPr>
        <w:t xml:space="preserve">hotovitel zvolí stejné CDE jako </w:t>
      </w:r>
      <w:r w:rsidR="00E8678C">
        <w:rPr>
          <w:rFonts w:ascii="Book Antiqua" w:eastAsia="Arial" w:hAnsi="Book Antiqua" w:cs="Arial"/>
        </w:rPr>
        <w:t>O</w:t>
      </w:r>
      <w:r>
        <w:rPr>
          <w:rFonts w:ascii="Book Antiqua" w:eastAsia="Arial" w:hAnsi="Book Antiqua" w:cs="Arial"/>
        </w:rPr>
        <w:t xml:space="preserve">bjednatel, tedy CDE Proconom, pak je možné sjednat příslušné licenční </w:t>
      </w:r>
      <w:r w:rsidRPr="00D916FC">
        <w:rPr>
          <w:rFonts w:ascii="Book Antiqua" w:eastAsia="Arial" w:hAnsi="Book Antiqua" w:cs="Arial"/>
        </w:rPr>
        <w:t xml:space="preserve">podmínky se společností Proconom Software, s.r.o., IČO 07156863, </w:t>
      </w:r>
      <w:hyperlink r:id="rId11" w:history="1">
        <w:r w:rsidRPr="00D916FC">
          <w:rPr>
            <w:rStyle w:val="Hypertextovodkaz"/>
            <w:rFonts w:ascii="Book Antiqua" w:eastAsia="Arial" w:hAnsi="Book Antiqua" w:cs="Arial"/>
            <w:color w:val="auto"/>
          </w:rPr>
          <w:t>www.proconom.cz</w:t>
        </w:r>
      </w:hyperlink>
      <w:r w:rsidRPr="00D916FC">
        <w:rPr>
          <w:rFonts w:ascii="Book Antiqua" w:eastAsia="Arial" w:hAnsi="Book Antiqua" w:cs="Arial"/>
        </w:rPr>
        <w:t>. Smluvní cena za jednu poskytnutou licenci</w:t>
      </w:r>
      <w:r w:rsidR="00D916FC" w:rsidRPr="00D916FC">
        <w:rPr>
          <w:rFonts w:ascii="Book Antiqua" w:eastAsia="Arial" w:hAnsi="Book Antiqua" w:cs="Arial"/>
        </w:rPr>
        <w:t xml:space="preserve"> </w:t>
      </w:r>
      <w:r w:rsidR="00266D02">
        <w:rPr>
          <w:rFonts w:ascii="Book Antiqua" w:eastAsia="Arial" w:hAnsi="Book Antiqua" w:cs="Arial"/>
        </w:rPr>
        <w:t xml:space="preserve">„Business“ </w:t>
      </w:r>
      <w:r w:rsidR="00D916FC" w:rsidRPr="00D916FC">
        <w:rPr>
          <w:rFonts w:ascii="Book Antiqua" w:eastAsia="Arial" w:hAnsi="Book Antiqua" w:cs="Arial"/>
        </w:rPr>
        <w:t xml:space="preserve">v rámci realizace stavby </w:t>
      </w:r>
      <w:r w:rsidR="00781C7E" w:rsidRPr="00781C7E">
        <w:rPr>
          <w:rFonts w:ascii="Book Antiqua" w:eastAsia="Arial" w:hAnsi="Book Antiqua" w:cs="Arial"/>
        </w:rPr>
        <w:t>„</w:t>
      </w:r>
      <w:r w:rsidR="00591EE8">
        <w:rPr>
          <w:rFonts w:ascii="Book Antiqua" w:eastAsia="Arial" w:hAnsi="Book Antiqua" w:cs="Arial"/>
        </w:rPr>
        <w:t xml:space="preserve">Silnice </w:t>
      </w:r>
      <w:r w:rsidR="0031068A" w:rsidRPr="0031068A">
        <w:rPr>
          <w:rFonts w:ascii="Book Antiqua" w:eastAsia="Arial" w:hAnsi="Book Antiqua" w:cs="Arial"/>
        </w:rPr>
        <w:t xml:space="preserve">II/606 </w:t>
      </w:r>
      <w:proofErr w:type="gramStart"/>
      <w:r w:rsidR="0031068A" w:rsidRPr="0031068A">
        <w:rPr>
          <w:rFonts w:ascii="Book Antiqua" w:eastAsia="Arial" w:hAnsi="Book Antiqua" w:cs="Arial"/>
        </w:rPr>
        <w:t>Cheb - Pomezí</w:t>
      </w:r>
      <w:proofErr w:type="gramEnd"/>
      <w:r w:rsidR="00781C7E" w:rsidRPr="00781C7E">
        <w:rPr>
          <w:rFonts w:ascii="Book Antiqua" w:eastAsia="Arial" w:hAnsi="Book Antiqua" w:cs="Arial"/>
        </w:rPr>
        <w:t>“</w:t>
      </w:r>
      <w:r w:rsidR="00D916FC">
        <w:rPr>
          <w:rFonts w:ascii="Book Antiqua" w:eastAsia="Arial" w:hAnsi="Book Antiqua" w:cs="Arial"/>
        </w:rPr>
        <w:t xml:space="preserve"> bude činit 799</w:t>
      </w:r>
      <w:r w:rsidR="00266D02">
        <w:rPr>
          <w:rFonts w:ascii="Book Antiqua" w:eastAsia="Arial" w:hAnsi="Book Antiqua" w:cs="Arial"/>
        </w:rPr>
        <w:t>,-</w:t>
      </w:r>
      <w:r w:rsidR="00D916FC">
        <w:rPr>
          <w:rFonts w:ascii="Book Antiqua" w:eastAsia="Arial" w:hAnsi="Book Antiqua" w:cs="Arial"/>
        </w:rPr>
        <w:t xml:space="preserve"> Kč bez DPH/měsíc. Vlastní zpřístupnění CDE k uvedené stavbě pak na základě získání licence zajistí </w:t>
      </w:r>
      <w:r w:rsidR="00E8678C">
        <w:rPr>
          <w:rFonts w:ascii="Book Antiqua" w:eastAsia="Arial" w:hAnsi="Book Antiqua" w:cs="Arial"/>
        </w:rPr>
        <w:t>O</w:t>
      </w:r>
      <w:r w:rsidR="00D916FC">
        <w:rPr>
          <w:rFonts w:ascii="Book Antiqua" w:eastAsia="Arial" w:hAnsi="Book Antiqua" w:cs="Arial"/>
        </w:rPr>
        <w:t>bjednatel.</w:t>
      </w:r>
      <w:r w:rsidR="00266D02">
        <w:rPr>
          <w:rFonts w:ascii="Book Antiqua" w:eastAsia="Arial" w:hAnsi="Book Antiqua" w:cs="Arial"/>
        </w:rPr>
        <w:t xml:space="preserve"> V případě potřeby si musí </w:t>
      </w:r>
      <w:r w:rsidR="00E8678C">
        <w:rPr>
          <w:rFonts w:ascii="Book Antiqua" w:eastAsia="Arial" w:hAnsi="Book Antiqua" w:cs="Arial"/>
        </w:rPr>
        <w:t>Z</w:t>
      </w:r>
      <w:r w:rsidR="00266D02">
        <w:rPr>
          <w:rFonts w:ascii="Book Antiqua" w:eastAsia="Arial" w:hAnsi="Book Antiqua" w:cs="Arial"/>
        </w:rPr>
        <w:t xml:space="preserve">hotovitel zajistit potřebná školení, </w:t>
      </w:r>
      <w:r w:rsidR="00387950">
        <w:rPr>
          <w:rFonts w:ascii="Book Antiqua" w:eastAsia="Arial" w:hAnsi="Book Antiqua" w:cs="Arial"/>
        </w:rPr>
        <w:t xml:space="preserve">datovou asistenci, technickou podporu </w:t>
      </w:r>
      <w:r w:rsidR="00266D02">
        <w:rPr>
          <w:rFonts w:ascii="Book Antiqua" w:eastAsia="Arial" w:hAnsi="Book Antiqua" w:cs="Arial"/>
        </w:rPr>
        <w:t>či jiné podpůrné služby, samostatně na své náklady.</w:t>
      </w:r>
    </w:p>
    <w:p w14:paraId="41C438AB" w14:textId="77777777" w:rsidR="00631D90" w:rsidRPr="00387950" w:rsidRDefault="00631D90" w:rsidP="00387950">
      <w:pPr>
        <w:ind w:firstLine="709"/>
        <w:jc w:val="both"/>
        <w:rPr>
          <w:rFonts w:ascii="Book Antiqua" w:hAnsi="Book Antiqua"/>
        </w:rPr>
      </w:pPr>
    </w:p>
    <w:p w14:paraId="5103AEE3" w14:textId="0A508FB7" w:rsidR="00387950" w:rsidRDefault="00387950" w:rsidP="00387950">
      <w:pPr>
        <w:pStyle w:val="Nadpis1"/>
        <w:rPr>
          <w:rFonts w:ascii="Book Antiqua" w:eastAsia="Arial" w:hAnsi="Book Antiqua" w:cs="Arial"/>
          <w:sz w:val="24"/>
          <w:szCs w:val="24"/>
        </w:rPr>
      </w:pPr>
      <w:r>
        <w:rPr>
          <w:rFonts w:ascii="Book Antiqua" w:eastAsia="Arial" w:hAnsi="Book Antiqua" w:cs="Arial"/>
          <w:sz w:val="24"/>
          <w:szCs w:val="24"/>
        </w:rPr>
        <w:lastRenderedPageBreak/>
        <w:t>7</w:t>
      </w:r>
      <w:r w:rsidRPr="00E11CE4">
        <w:rPr>
          <w:rFonts w:ascii="Book Antiqua" w:eastAsia="Arial" w:hAnsi="Book Antiqua" w:cs="Arial"/>
          <w:sz w:val="24"/>
          <w:szCs w:val="24"/>
        </w:rPr>
        <w:t>.</w:t>
      </w:r>
      <w:r w:rsidRPr="008A3642">
        <w:rPr>
          <w:rFonts w:ascii="Book Antiqua" w:eastAsia="Times New Roman" w:hAnsi="Book Antiqua" w:cs="Times New Roman"/>
          <w:b w:val="0"/>
          <w:bCs w:val="0"/>
          <w:sz w:val="14"/>
          <w:szCs w:val="14"/>
        </w:rPr>
        <w:t xml:space="preserve">     </w:t>
      </w:r>
      <w:r>
        <w:rPr>
          <w:rFonts w:ascii="Book Antiqua" w:eastAsia="Arial" w:hAnsi="Book Antiqua" w:cs="Arial"/>
          <w:sz w:val="24"/>
          <w:szCs w:val="24"/>
        </w:rPr>
        <w:t>Rozsah použití CDE Proconom v rámci stavby</w:t>
      </w:r>
    </w:p>
    <w:p w14:paraId="468E0286" w14:textId="009A8C4E" w:rsidR="00387950" w:rsidRDefault="00387950" w:rsidP="002526B0">
      <w:pPr>
        <w:rPr>
          <w:rFonts w:ascii="Book Antiqua" w:hAnsi="Book Antiqua" w:cs="Arial"/>
        </w:rPr>
      </w:pPr>
    </w:p>
    <w:p w14:paraId="53056834" w14:textId="4788310C" w:rsidR="00724646" w:rsidRDefault="00387950" w:rsidP="00387950">
      <w:pPr>
        <w:ind w:firstLine="709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hAnsi="Book Antiqua" w:cs="Arial"/>
        </w:rPr>
        <w:t xml:space="preserve">Zhotovitel je v rámci realizace stavby </w:t>
      </w:r>
      <w:r w:rsidR="00781C7E" w:rsidRPr="00781C7E">
        <w:rPr>
          <w:rFonts w:ascii="Book Antiqua" w:eastAsia="Arial" w:hAnsi="Book Antiqua" w:cs="Arial"/>
        </w:rPr>
        <w:t>„</w:t>
      </w:r>
      <w:r w:rsidR="007402B9">
        <w:rPr>
          <w:rFonts w:ascii="Book Antiqua" w:eastAsia="Arial" w:hAnsi="Book Antiqua" w:cs="Arial"/>
        </w:rPr>
        <w:t xml:space="preserve">Silnice </w:t>
      </w:r>
      <w:r w:rsidR="0031068A" w:rsidRPr="0031068A">
        <w:rPr>
          <w:rFonts w:ascii="Book Antiqua" w:eastAsia="Arial" w:hAnsi="Book Antiqua" w:cs="Arial"/>
        </w:rPr>
        <w:t xml:space="preserve">II/606 </w:t>
      </w:r>
      <w:proofErr w:type="gramStart"/>
      <w:r w:rsidR="0031068A" w:rsidRPr="0031068A">
        <w:rPr>
          <w:rFonts w:ascii="Book Antiqua" w:eastAsia="Arial" w:hAnsi="Book Antiqua" w:cs="Arial"/>
        </w:rPr>
        <w:t>Cheb - Pomezí</w:t>
      </w:r>
      <w:proofErr w:type="gramEnd"/>
      <w:r w:rsidR="00251196">
        <w:rPr>
          <w:rFonts w:ascii="Book Antiqua" w:eastAsia="Arial" w:hAnsi="Book Antiqua" w:cs="Arial"/>
        </w:rPr>
        <w:t xml:space="preserve">“ </w:t>
      </w:r>
      <w:r>
        <w:rPr>
          <w:rFonts w:ascii="Book Antiqua" w:eastAsia="Arial" w:hAnsi="Book Antiqua" w:cs="Arial"/>
        </w:rPr>
        <w:t>povinen</w:t>
      </w:r>
      <w:r w:rsidRPr="008A3642">
        <w:rPr>
          <w:rFonts w:ascii="Book Antiqua" w:eastAsia="Arial" w:hAnsi="Book Antiqua" w:cs="Arial"/>
        </w:rPr>
        <w:t xml:space="preserve"> zajist</w:t>
      </w:r>
      <w:r>
        <w:rPr>
          <w:rFonts w:ascii="Book Antiqua" w:eastAsia="Arial" w:hAnsi="Book Antiqua" w:cs="Arial"/>
        </w:rPr>
        <w:t>it</w:t>
      </w:r>
      <w:r w:rsidRPr="008A3642">
        <w:rPr>
          <w:rFonts w:ascii="Book Antiqua" w:eastAsia="Arial" w:hAnsi="Book Antiqua" w:cs="Arial"/>
        </w:rPr>
        <w:t xml:space="preserve"> </w:t>
      </w:r>
      <w:r>
        <w:rPr>
          <w:rFonts w:ascii="Book Antiqua" w:eastAsia="Arial" w:hAnsi="Book Antiqua" w:cs="Arial"/>
        </w:rPr>
        <w:t>kompatibilitu a přenos dat a dokumentů do systému Objednatele CDE Proconom.</w:t>
      </w:r>
      <w:r w:rsidR="00724646">
        <w:rPr>
          <w:rFonts w:ascii="Book Antiqua" w:eastAsia="Arial" w:hAnsi="Book Antiqua" w:cs="Arial"/>
        </w:rPr>
        <w:t xml:space="preserve"> Jedná se zejména o tyto oblasti a sekce vztahující se k provádění vlastních stavebních prací dle uzavřené Smlouvy o dílo:</w:t>
      </w:r>
    </w:p>
    <w:p w14:paraId="4942F037" w14:textId="77777777" w:rsidR="00724646" w:rsidRDefault="00724646" w:rsidP="00387950">
      <w:pPr>
        <w:ind w:firstLine="709"/>
        <w:contextualSpacing/>
        <w:jc w:val="both"/>
        <w:rPr>
          <w:rFonts w:ascii="Book Antiqua" w:eastAsia="Arial" w:hAnsi="Book Antiqua" w:cs="Arial"/>
        </w:rPr>
        <w:sectPr w:rsidR="00724646" w:rsidSect="000E0ED7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EC64494" w14:textId="77777777" w:rsidR="00724646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Dokumenty</w:t>
      </w:r>
    </w:p>
    <w:p w14:paraId="3898D465" w14:textId="77777777" w:rsidR="00724646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Workflow</w:t>
      </w:r>
    </w:p>
    <w:p w14:paraId="22BEA1F9" w14:textId="77777777" w:rsidR="00724646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Rozpočet</w:t>
      </w:r>
    </w:p>
    <w:p w14:paraId="683BD2DA" w14:textId="3DD9461F" w:rsidR="00387950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Změny během výstavby</w:t>
      </w:r>
      <w:r w:rsidRPr="00724646">
        <w:rPr>
          <w:rFonts w:ascii="Book Antiqua" w:eastAsia="Arial" w:hAnsi="Book Antiqua" w:cs="Arial"/>
        </w:rPr>
        <w:t xml:space="preserve"> </w:t>
      </w:r>
      <w:r w:rsidR="00387950" w:rsidRPr="00724646">
        <w:rPr>
          <w:rFonts w:ascii="Book Antiqua" w:eastAsia="Arial" w:hAnsi="Book Antiqua" w:cs="Arial"/>
        </w:rPr>
        <w:t xml:space="preserve"> </w:t>
      </w:r>
    </w:p>
    <w:p w14:paraId="36E3447F" w14:textId="21576EE5" w:rsidR="00724646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Prostavěnost – soupisy prací</w:t>
      </w:r>
    </w:p>
    <w:p w14:paraId="47C790F5" w14:textId="1C178019" w:rsidR="00724646" w:rsidRPr="00724646" w:rsidRDefault="00724646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Faktury</w:t>
      </w:r>
    </w:p>
    <w:p w14:paraId="4E10D228" w14:textId="4A7E6332" w:rsidR="00724646" w:rsidRPr="009E551F" w:rsidRDefault="004B6758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eastAsia="Arial" w:hAnsi="Book Antiqua" w:cs="Arial"/>
        </w:rPr>
        <w:t>Stavební deník</w:t>
      </w:r>
    </w:p>
    <w:p w14:paraId="6DB04064" w14:textId="34AF2E61" w:rsidR="009E551F" w:rsidRDefault="009E551F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BOZP</w:t>
      </w:r>
    </w:p>
    <w:p w14:paraId="3F930898" w14:textId="2EE14A48" w:rsidR="009E551F" w:rsidRDefault="009E551F" w:rsidP="00724646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Harmonogram</w:t>
      </w:r>
    </w:p>
    <w:p w14:paraId="7962AB07" w14:textId="1AC71280" w:rsidR="00724646" w:rsidRPr="009E551F" w:rsidRDefault="009E551F" w:rsidP="009E551F">
      <w:pPr>
        <w:pStyle w:val="Odstavecseseznamem"/>
        <w:numPr>
          <w:ilvl w:val="0"/>
          <w:numId w:val="4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Finanční plán</w:t>
      </w:r>
    </w:p>
    <w:sectPr w:rsidR="00724646" w:rsidRPr="009E551F" w:rsidSect="00724646">
      <w:type w:val="continuous"/>
      <w:pgSz w:w="11906" w:h="16838"/>
      <w:pgMar w:top="1417" w:right="1417" w:bottom="1417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6E35" w14:textId="77777777" w:rsidR="00E04D1B" w:rsidRDefault="00E04D1B" w:rsidP="009D02D2">
      <w:pPr>
        <w:spacing w:after="0" w:line="240" w:lineRule="auto"/>
      </w:pPr>
      <w:r>
        <w:separator/>
      </w:r>
    </w:p>
  </w:endnote>
  <w:endnote w:type="continuationSeparator" w:id="0">
    <w:p w14:paraId="26DA9C4D" w14:textId="77777777" w:rsidR="00E04D1B" w:rsidRDefault="00E04D1B" w:rsidP="009D02D2">
      <w:pPr>
        <w:spacing w:after="0" w:line="240" w:lineRule="auto"/>
      </w:pPr>
      <w:r>
        <w:continuationSeparator/>
      </w:r>
    </w:p>
  </w:endnote>
  <w:endnote w:type="continuationNotice" w:id="1">
    <w:p w14:paraId="57B947B7" w14:textId="77777777" w:rsidR="00E04D1B" w:rsidRDefault="00E04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06426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2683EFC" w14:textId="28253532" w:rsidR="00871BA4" w:rsidRDefault="00871BA4">
            <w:pPr>
              <w:pStyle w:val="Zpat"/>
              <w:jc w:val="center"/>
            </w:pPr>
            <w:r w:rsidRPr="00527A1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E349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14</w: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527A18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E349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16</w:t>
            </w:r>
            <w:r w:rsidRPr="00527A1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4451501" w14:textId="77777777" w:rsidR="00871BA4" w:rsidRDefault="00871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73C7" w14:textId="77777777" w:rsidR="00E04D1B" w:rsidRDefault="00E04D1B" w:rsidP="009D02D2">
      <w:pPr>
        <w:spacing w:after="0" w:line="240" w:lineRule="auto"/>
      </w:pPr>
      <w:r>
        <w:separator/>
      </w:r>
    </w:p>
  </w:footnote>
  <w:footnote w:type="continuationSeparator" w:id="0">
    <w:p w14:paraId="0A675E17" w14:textId="77777777" w:rsidR="00E04D1B" w:rsidRDefault="00E04D1B" w:rsidP="009D02D2">
      <w:pPr>
        <w:spacing w:after="0" w:line="240" w:lineRule="auto"/>
      </w:pPr>
      <w:r>
        <w:continuationSeparator/>
      </w:r>
    </w:p>
  </w:footnote>
  <w:footnote w:type="continuationNotice" w:id="1">
    <w:p w14:paraId="722B46A7" w14:textId="77777777" w:rsidR="00E04D1B" w:rsidRDefault="00E04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8B5C" w14:textId="0702547A" w:rsidR="00871BA4" w:rsidRPr="007A4871" w:rsidRDefault="00871BA4" w:rsidP="009D02D2">
    <w:pPr>
      <w:pStyle w:val="Zhlav"/>
      <w:rPr>
        <w:rFonts w:asciiTheme="minorHAnsi" w:hAnsiTheme="minorHAnsi" w:cstheme="minorHAnsi"/>
        <w:i/>
        <w:sz w:val="16"/>
      </w:rPr>
    </w:pPr>
    <w:r w:rsidRPr="007A4871">
      <w:rPr>
        <w:rFonts w:asciiTheme="minorHAnsi" w:hAnsiTheme="minorHAnsi" w:cstheme="minorHAnsi"/>
        <w:i/>
        <w:sz w:val="16"/>
      </w:rPr>
      <w:tab/>
    </w:r>
    <w:r w:rsidRPr="007A4871">
      <w:rPr>
        <w:rFonts w:asciiTheme="minorHAnsi" w:hAnsiTheme="minorHAnsi" w:cstheme="minorHAnsi"/>
        <w:i/>
        <w:sz w:val="16"/>
      </w:rPr>
      <w:tab/>
    </w:r>
  </w:p>
  <w:p w14:paraId="560239F0" w14:textId="77777777" w:rsidR="00871BA4" w:rsidRPr="000D3311" w:rsidRDefault="00871BA4" w:rsidP="009D02D2">
    <w:pPr>
      <w:pStyle w:val="Zhlav"/>
    </w:pPr>
  </w:p>
  <w:p w14:paraId="2E758D25" w14:textId="77777777" w:rsidR="00871BA4" w:rsidRDefault="00871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3F9"/>
    <w:multiLevelType w:val="hybridMultilevel"/>
    <w:tmpl w:val="CD5AAFE6"/>
    <w:lvl w:ilvl="0" w:tplc="85D81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0B6"/>
    <w:multiLevelType w:val="hybridMultilevel"/>
    <w:tmpl w:val="D812D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D0B"/>
    <w:multiLevelType w:val="hybridMultilevel"/>
    <w:tmpl w:val="282204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999"/>
    <w:multiLevelType w:val="hybridMultilevel"/>
    <w:tmpl w:val="D772C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45D3"/>
    <w:multiLevelType w:val="hybridMultilevel"/>
    <w:tmpl w:val="C1243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53C4F"/>
    <w:multiLevelType w:val="hybridMultilevel"/>
    <w:tmpl w:val="AF0AB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1CAD"/>
    <w:multiLevelType w:val="hybridMultilevel"/>
    <w:tmpl w:val="91829200"/>
    <w:lvl w:ilvl="0" w:tplc="A88A44D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FAEA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88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E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84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0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4B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6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652"/>
    <w:multiLevelType w:val="hybridMultilevel"/>
    <w:tmpl w:val="DA826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77AA9"/>
    <w:multiLevelType w:val="hybridMultilevel"/>
    <w:tmpl w:val="E4B0F672"/>
    <w:lvl w:ilvl="0" w:tplc="3CD66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0DAD"/>
    <w:multiLevelType w:val="hybridMultilevel"/>
    <w:tmpl w:val="AD4AA4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7156"/>
    <w:multiLevelType w:val="hybridMultilevel"/>
    <w:tmpl w:val="60EA64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36DB"/>
    <w:multiLevelType w:val="hybridMultilevel"/>
    <w:tmpl w:val="67A45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23519"/>
    <w:multiLevelType w:val="multilevel"/>
    <w:tmpl w:val="789EE0C2"/>
    <w:numStyleLink w:val="Styl1"/>
  </w:abstractNum>
  <w:abstractNum w:abstractNumId="13" w15:restartNumberingAfterBreak="0">
    <w:nsid w:val="3953726D"/>
    <w:multiLevelType w:val="hybridMultilevel"/>
    <w:tmpl w:val="033EB3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B6A"/>
    <w:multiLevelType w:val="hybridMultilevel"/>
    <w:tmpl w:val="7C0C5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71675"/>
    <w:multiLevelType w:val="hybridMultilevel"/>
    <w:tmpl w:val="95F8E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7529"/>
    <w:multiLevelType w:val="hybridMultilevel"/>
    <w:tmpl w:val="F1526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B2DE0"/>
    <w:multiLevelType w:val="hybridMultilevel"/>
    <w:tmpl w:val="4FACEA80"/>
    <w:lvl w:ilvl="0" w:tplc="705637A0">
      <w:start w:val="1"/>
      <w:numFmt w:val="decimal"/>
      <w:lvlText w:val="%1."/>
      <w:lvlJc w:val="left"/>
      <w:pPr>
        <w:ind w:left="1069" w:hanging="360"/>
      </w:pPr>
      <w:rPr>
        <w:rFonts w:eastAsia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9475F8"/>
    <w:multiLevelType w:val="hybridMultilevel"/>
    <w:tmpl w:val="19A88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71B8">
      <w:start w:val="1"/>
      <w:numFmt w:val="lowerLetter"/>
      <w:lvlText w:val="%2."/>
      <w:lvlJc w:val="left"/>
      <w:pPr>
        <w:ind w:left="1440" w:hanging="360"/>
      </w:pPr>
    </w:lvl>
    <w:lvl w:ilvl="2" w:tplc="F962D5DC">
      <w:start w:val="1"/>
      <w:numFmt w:val="lowerRoman"/>
      <w:lvlText w:val="%3."/>
      <w:lvlJc w:val="right"/>
      <w:pPr>
        <w:ind w:left="2160" w:hanging="180"/>
      </w:pPr>
    </w:lvl>
    <w:lvl w:ilvl="3" w:tplc="E39A3D58">
      <w:start w:val="1"/>
      <w:numFmt w:val="decimal"/>
      <w:lvlText w:val="%4."/>
      <w:lvlJc w:val="left"/>
      <w:pPr>
        <w:ind w:left="2880" w:hanging="360"/>
      </w:pPr>
    </w:lvl>
    <w:lvl w:ilvl="4" w:tplc="EA7C3E02">
      <w:start w:val="1"/>
      <w:numFmt w:val="lowerLetter"/>
      <w:lvlText w:val="%5."/>
      <w:lvlJc w:val="left"/>
      <w:pPr>
        <w:ind w:left="3600" w:hanging="360"/>
      </w:pPr>
    </w:lvl>
    <w:lvl w:ilvl="5" w:tplc="651AEDDC">
      <w:start w:val="1"/>
      <w:numFmt w:val="lowerRoman"/>
      <w:lvlText w:val="%6."/>
      <w:lvlJc w:val="right"/>
      <w:pPr>
        <w:ind w:left="4320" w:hanging="180"/>
      </w:pPr>
    </w:lvl>
    <w:lvl w:ilvl="6" w:tplc="C4464970">
      <w:start w:val="1"/>
      <w:numFmt w:val="decimal"/>
      <w:lvlText w:val="%7."/>
      <w:lvlJc w:val="left"/>
      <w:pPr>
        <w:ind w:left="5040" w:hanging="360"/>
      </w:pPr>
    </w:lvl>
    <w:lvl w:ilvl="7" w:tplc="AA6ED958">
      <w:start w:val="1"/>
      <w:numFmt w:val="lowerLetter"/>
      <w:lvlText w:val="%8."/>
      <w:lvlJc w:val="left"/>
      <w:pPr>
        <w:ind w:left="5760" w:hanging="360"/>
      </w:pPr>
    </w:lvl>
    <w:lvl w:ilvl="8" w:tplc="82EC03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3AE0"/>
    <w:multiLevelType w:val="hybridMultilevel"/>
    <w:tmpl w:val="FFFFFFFF"/>
    <w:lvl w:ilvl="0" w:tplc="A642B44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A6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23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C2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A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8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C6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C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2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5F0C"/>
    <w:multiLevelType w:val="hybridMultilevel"/>
    <w:tmpl w:val="95F8E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4175D"/>
    <w:multiLevelType w:val="hybridMultilevel"/>
    <w:tmpl w:val="1EF2A1EE"/>
    <w:lvl w:ilvl="0" w:tplc="BDE445E6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8"/>
        <w:w w:val="100"/>
        <w:sz w:val="16"/>
        <w:vertAlign w:val="baseline"/>
        <w:lang w:val="cs-CZ"/>
      </w:rPr>
    </w:lvl>
    <w:lvl w:ilvl="1" w:tplc="F7AC27FC">
      <w:numFmt w:val="decimal"/>
      <w:lvlText w:val=""/>
      <w:lvlJc w:val="left"/>
    </w:lvl>
    <w:lvl w:ilvl="2" w:tplc="5FC21960">
      <w:numFmt w:val="decimal"/>
      <w:lvlText w:val=""/>
      <w:lvlJc w:val="left"/>
    </w:lvl>
    <w:lvl w:ilvl="3" w:tplc="D2F6CC46">
      <w:numFmt w:val="decimal"/>
      <w:lvlText w:val=""/>
      <w:lvlJc w:val="left"/>
    </w:lvl>
    <w:lvl w:ilvl="4" w:tplc="433E2B7E">
      <w:numFmt w:val="decimal"/>
      <w:lvlText w:val=""/>
      <w:lvlJc w:val="left"/>
    </w:lvl>
    <w:lvl w:ilvl="5" w:tplc="04523BB0">
      <w:numFmt w:val="decimal"/>
      <w:lvlText w:val=""/>
      <w:lvlJc w:val="left"/>
    </w:lvl>
    <w:lvl w:ilvl="6" w:tplc="4E64AA3E">
      <w:numFmt w:val="decimal"/>
      <w:lvlText w:val=""/>
      <w:lvlJc w:val="left"/>
    </w:lvl>
    <w:lvl w:ilvl="7" w:tplc="94DC5DD2">
      <w:numFmt w:val="decimal"/>
      <w:lvlText w:val=""/>
      <w:lvlJc w:val="left"/>
    </w:lvl>
    <w:lvl w:ilvl="8" w:tplc="AFDC38A2">
      <w:numFmt w:val="decimal"/>
      <w:lvlText w:val=""/>
      <w:lvlJc w:val="left"/>
    </w:lvl>
  </w:abstractNum>
  <w:abstractNum w:abstractNumId="22" w15:restartNumberingAfterBreak="0">
    <w:nsid w:val="4DDB1E8E"/>
    <w:multiLevelType w:val="hybridMultilevel"/>
    <w:tmpl w:val="A9CED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1CF6"/>
    <w:multiLevelType w:val="hybridMultilevel"/>
    <w:tmpl w:val="95F8E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7023C"/>
    <w:multiLevelType w:val="hybridMultilevel"/>
    <w:tmpl w:val="C8F4B49A"/>
    <w:lvl w:ilvl="0" w:tplc="F88A6D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02E64"/>
    <w:multiLevelType w:val="hybridMultilevel"/>
    <w:tmpl w:val="C8C003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74BCD"/>
    <w:multiLevelType w:val="hybridMultilevel"/>
    <w:tmpl w:val="98626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5047E"/>
    <w:multiLevelType w:val="multilevel"/>
    <w:tmpl w:val="789EE0C2"/>
    <w:styleLink w:val="Styl1"/>
    <w:lvl w:ilvl="0">
      <w:start w:val="1"/>
      <w:numFmt w:val="decimal"/>
      <w:lvlText w:val="%1."/>
      <w:lvlJc w:val="left"/>
      <w:pPr>
        <w:ind w:left="457" w:hanging="341"/>
      </w:pPr>
      <w:rPr>
        <w:rFonts w:ascii="Calibri" w:eastAsia="Calibri" w:hAnsi="Calibri" w:hint="default"/>
        <w:b/>
        <w:bCs/>
        <w:color w:val="231F20"/>
        <w:w w:val="110"/>
        <w:sz w:val="28"/>
        <w:szCs w:val="28"/>
      </w:rPr>
    </w:lvl>
    <w:lvl w:ilvl="1">
      <w:start w:val="1"/>
      <w:numFmt w:val="decimal"/>
      <w:lvlText w:val="%1.%2"/>
      <w:lvlJc w:val="left"/>
      <w:pPr>
        <w:ind w:left="797" w:hanging="341"/>
      </w:pPr>
      <w:rPr>
        <w:rFonts w:ascii="Calibri" w:eastAsia="Calibri" w:hAnsi="Calibri" w:hint="default"/>
        <w:color w:val="231F20"/>
        <w:w w:val="96"/>
        <w:sz w:val="20"/>
        <w:szCs w:val="20"/>
      </w:rPr>
    </w:lvl>
    <w:lvl w:ilvl="2">
      <w:start w:val="1"/>
      <w:numFmt w:val="decimal"/>
      <w:lvlText w:val="%1.%2.%3"/>
      <w:lvlJc w:val="left"/>
      <w:pPr>
        <w:ind w:left="1477" w:hanging="681"/>
      </w:pPr>
      <w:rPr>
        <w:rFonts w:ascii="Calibri" w:eastAsia="Calibri" w:hAnsi="Calibri" w:hint="default"/>
        <w:color w:val="231F20"/>
        <w:w w:val="95"/>
        <w:sz w:val="20"/>
        <w:szCs w:val="20"/>
      </w:rPr>
    </w:lvl>
    <w:lvl w:ilvl="3">
      <w:start w:val="1"/>
      <w:numFmt w:val="lowerLetter"/>
      <w:lvlText w:val="%4"/>
      <w:lvlJc w:val="left"/>
      <w:pPr>
        <w:ind w:left="2361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5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8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6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0" w:hanging="681"/>
      </w:pPr>
      <w:rPr>
        <w:rFonts w:hint="default"/>
      </w:rPr>
    </w:lvl>
  </w:abstractNum>
  <w:abstractNum w:abstractNumId="28" w15:restartNumberingAfterBreak="0">
    <w:nsid w:val="63F15970"/>
    <w:multiLevelType w:val="multilevel"/>
    <w:tmpl w:val="B54E2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4277A65"/>
    <w:multiLevelType w:val="hybridMultilevel"/>
    <w:tmpl w:val="AE9043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739ED"/>
    <w:multiLevelType w:val="hybridMultilevel"/>
    <w:tmpl w:val="D31A0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F0950"/>
    <w:multiLevelType w:val="hybridMultilevel"/>
    <w:tmpl w:val="F774B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2D65"/>
    <w:multiLevelType w:val="hybridMultilevel"/>
    <w:tmpl w:val="7D56CB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14680A"/>
    <w:multiLevelType w:val="hybridMultilevel"/>
    <w:tmpl w:val="01A0C368"/>
    <w:lvl w:ilvl="0" w:tplc="FD623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E0983"/>
    <w:multiLevelType w:val="hybridMultilevel"/>
    <w:tmpl w:val="27265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195A"/>
    <w:multiLevelType w:val="hybridMultilevel"/>
    <w:tmpl w:val="869EC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9528E"/>
    <w:multiLevelType w:val="hybridMultilevel"/>
    <w:tmpl w:val="23D04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16F7F"/>
    <w:multiLevelType w:val="hybridMultilevel"/>
    <w:tmpl w:val="5F525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64C8A"/>
    <w:multiLevelType w:val="hybridMultilevel"/>
    <w:tmpl w:val="3522E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43B5C"/>
    <w:multiLevelType w:val="hybridMultilevel"/>
    <w:tmpl w:val="EE7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21371">
    <w:abstractNumId w:val="6"/>
  </w:num>
  <w:num w:numId="2" w16cid:durableId="1788891969">
    <w:abstractNumId w:val="28"/>
  </w:num>
  <w:num w:numId="3" w16cid:durableId="767308211">
    <w:abstractNumId w:val="7"/>
  </w:num>
  <w:num w:numId="4" w16cid:durableId="878594605">
    <w:abstractNumId w:val="35"/>
  </w:num>
  <w:num w:numId="5" w16cid:durableId="590479618">
    <w:abstractNumId w:val="34"/>
  </w:num>
  <w:num w:numId="6" w16cid:durableId="726346233">
    <w:abstractNumId w:val="38"/>
  </w:num>
  <w:num w:numId="7" w16cid:durableId="1922786625">
    <w:abstractNumId w:val="31"/>
  </w:num>
  <w:num w:numId="8" w16cid:durableId="786968137">
    <w:abstractNumId w:val="25"/>
  </w:num>
  <w:num w:numId="9" w16cid:durableId="373818338">
    <w:abstractNumId w:val="5"/>
  </w:num>
  <w:num w:numId="10" w16cid:durableId="1905557193">
    <w:abstractNumId w:val="37"/>
  </w:num>
  <w:num w:numId="11" w16cid:durableId="1247568152">
    <w:abstractNumId w:val="10"/>
  </w:num>
  <w:num w:numId="12" w16cid:durableId="2124420120">
    <w:abstractNumId w:val="13"/>
  </w:num>
  <w:num w:numId="13" w16cid:durableId="1935356064">
    <w:abstractNumId w:val="39"/>
  </w:num>
  <w:num w:numId="14" w16cid:durableId="1412579040">
    <w:abstractNumId w:val="4"/>
  </w:num>
  <w:num w:numId="15" w16cid:durableId="910775132">
    <w:abstractNumId w:val="9"/>
  </w:num>
  <w:num w:numId="16" w16cid:durableId="108673352">
    <w:abstractNumId w:val="1"/>
  </w:num>
  <w:num w:numId="17" w16cid:durableId="1793355843">
    <w:abstractNumId w:val="14"/>
  </w:num>
  <w:num w:numId="18" w16cid:durableId="428620561">
    <w:abstractNumId w:val="11"/>
  </w:num>
  <w:num w:numId="19" w16cid:durableId="880939253">
    <w:abstractNumId w:val="26"/>
  </w:num>
  <w:num w:numId="20" w16cid:durableId="1051805289">
    <w:abstractNumId w:val="21"/>
  </w:num>
  <w:num w:numId="21" w16cid:durableId="718633099">
    <w:abstractNumId w:val="30"/>
  </w:num>
  <w:num w:numId="22" w16cid:durableId="18574218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5757935">
    <w:abstractNumId w:val="36"/>
  </w:num>
  <w:num w:numId="24" w16cid:durableId="430667195">
    <w:abstractNumId w:val="23"/>
  </w:num>
  <w:num w:numId="25" w16cid:durableId="950281480">
    <w:abstractNumId w:val="2"/>
  </w:num>
  <w:num w:numId="26" w16cid:durableId="1371493574">
    <w:abstractNumId w:val="29"/>
  </w:num>
  <w:num w:numId="27" w16cid:durableId="1328249795">
    <w:abstractNumId w:val="22"/>
  </w:num>
  <w:num w:numId="28" w16cid:durableId="326981869">
    <w:abstractNumId w:val="27"/>
  </w:num>
  <w:num w:numId="29" w16cid:durableId="23680537">
    <w:abstractNumId w:val="12"/>
  </w:num>
  <w:num w:numId="30" w16cid:durableId="1253196755">
    <w:abstractNumId w:val="28"/>
  </w:num>
  <w:num w:numId="31" w16cid:durableId="1109425700">
    <w:abstractNumId w:val="3"/>
  </w:num>
  <w:num w:numId="32" w16cid:durableId="1905800190">
    <w:abstractNumId w:val="16"/>
  </w:num>
  <w:num w:numId="33" w16cid:durableId="321933762">
    <w:abstractNumId w:val="32"/>
  </w:num>
  <w:num w:numId="34" w16cid:durableId="2125418441">
    <w:abstractNumId w:val="24"/>
  </w:num>
  <w:num w:numId="35" w16cid:durableId="43406909">
    <w:abstractNumId w:val="20"/>
  </w:num>
  <w:num w:numId="36" w16cid:durableId="2014868558">
    <w:abstractNumId w:val="15"/>
  </w:num>
  <w:num w:numId="37" w16cid:durableId="178663336">
    <w:abstractNumId w:val="28"/>
  </w:num>
  <w:num w:numId="38" w16cid:durableId="1602227927">
    <w:abstractNumId w:val="8"/>
  </w:num>
  <w:num w:numId="39" w16cid:durableId="318119644">
    <w:abstractNumId w:val="18"/>
  </w:num>
  <w:num w:numId="40" w16cid:durableId="1628269256">
    <w:abstractNumId w:val="33"/>
  </w:num>
  <w:num w:numId="41" w16cid:durableId="75982406">
    <w:abstractNumId w:val="28"/>
  </w:num>
  <w:num w:numId="42" w16cid:durableId="1019620311">
    <w:abstractNumId w:val="0"/>
  </w:num>
  <w:num w:numId="43" w16cid:durableId="774524683">
    <w:abstractNumId w:val="19"/>
  </w:num>
  <w:num w:numId="44" w16cid:durableId="209397051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30B3"/>
    <w:rsid w:val="000057C3"/>
    <w:rsid w:val="00014EBA"/>
    <w:rsid w:val="0002104B"/>
    <w:rsid w:val="0002194A"/>
    <w:rsid w:val="00023A6B"/>
    <w:rsid w:val="00033B56"/>
    <w:rsid w:val="00040858"/>
    <w:rsid w:val="00042BBB"/>
    <w:rsid w:val="00052B28"/>
    <w:rsid w:val="00053471"/>
    <w:rsid w:val="00054780"/>
    <w:rsid w:val="00054A6A"/>
    <w:rsid w:val="00055259"/>
    <w:rsid w:val="000552D8"/>
    <w:rsid w:val="00055D65"/>
    <w:rsid w:val="00060FED"/>
    <w:rsid w:val="00061ABE"/>
    <w:rsid w:val="00063CB3"/>
    <w:rsid w:val="000640FA"/>
    <w:rsid w:val="0007216E"/>
    <w:rsid w:val="00081768"/>
    <w:rsid w:val="0008363D"/>
    <w:rsid w:val="00083BEF"/>
    <w:rsid w:val="000850C2"/>
    <w:rsid w:val="00086C23"/>
    <w:rsid w:val="0008755E"/>
    <w:rsid w:val="00092128"/>
    <w:rsid w:val="00095B8A"/>
    <w:rsid w:val="000A67B1"/>
    <w:rsid w:val="000A6D3E"/>
    <w:rsid w:val="000C68F1"/>
    <w:rsid w:val="000D1C0F"/>
    <w:rsid w:val="000D3216"/>
    <w:rsid w:val="000D41D6"/>
    <w:rsid w:val="000D75C0"/>
    <w:rsid w:val="000D7EA8"/>
    <w:rsid w:val="000E0913"/>
    <w:rsid w:val="000E0ED7"/>
    <w:rsid w:val="000E40F3"/>
    <w:rsid w:val="000E56FA"/>
    <w:rsid w:val="000E5C3B"/>
    <w:rsid w:val="000F1D33"/>
    <w:rsid w:val="000F268C"/>
    <w:rsid w:val="000F632B"/>
    <w:rsid w:val="00101238"/>
    <w:rsid w:val="001039EE"/>
    <w:rsid w:val="00103CE9"/>
    <w:rsid w:val="00105A47"/>
    <w:rsid w:val="00106686"/>
    <w:rsid w:val="001076A6"/>
    <w:rsid w:val="00111018"/>
    <w:rsid w:val="00111BAB"/>
    <w:rsid w:val="001128FE"/>
    <w:rsid w:val="00113807"/>
    <w:rsid w:val="001151A8"/>
    <w:rsid w:val="00125807"/>
    <w:rsid w:val="001273F6"/>
    <w:rsid w:val="00137CC7"/>
    <w:rsid w:val="00137F7B"/>
    <w:rsid w:val="00143EAF"/>
    <w:rsid w:val="00144258"/>
    <w:rsid w:val="00145AC3"/>
    <w:rsid w:val="001503DD"/>
    <w:rsid w:val="00153010"/>
    <w:rsid w:val="00153100"/>
    <w:rsid w:val="0015342D"/>
    <w:rsid w:val="0015478B"/>
    <w:rsid w:val="001573D5"/>
    <w:rsid w:val="0016408A"/>
    <w:rsid w:val="001661D1"/>
    <w:rsid w:val="00173261"/>
    <w:rsid w:val="00175781"/>
    <w:rsid w:val="00177078"/>
    <w:rsid w:val="0018136A"/>
    <w:rsid w:val="001817B2"/>
    <w:rsid w:val="00182AFB"/>
    <w:rsid w:val="00183FF1"/>
    <w:rsid w:val="00185131"/>
    <w:rsid w:val="00185A0C"/>
    <w:rsid w:val="00192AE3"/>
    <w:rsid w:val="00192FBE"/>
    <w:rsid w:val="0019380D"/>
    <w:rsid w:val="00195999"/>
    <w:rsid w:val="001A0900"/>
    <w:rsid w:val="001A1F33"/>
    <w:rsid w:val="001A2D62"/>
    <w:rsid w:val="001A3AD3"/>
    <w:rsid w:val="001A5C8F"/>
    <w:rsid w:val="001A6237"/>
    <w:rsid w:val="001B0027"/>
    <w:rsid w:val="001B3288"/>
    <w:rsid w:val="001B57FF"/>
    <w:rsid w:val="001B5CA6"/>
    <w:rsid w:val="001B6D19"/>
    <w:rsid w:val="001B71E1"/>
    <w:rsid w:val="001B7D7D"/>
    <w:rsid w:val="001C1D0D"/>
    <w:rsid w:val="001C2CC1"/>
    <w:rsid w:val="001C57ED"/>
    <w:rsid w:val="001D053A"/>
    <w:rsid w:val="001E3F2D"/>
    <w:rsid w:val="001E5902"/>
    <w:rsid w:val="001E5B68"/>
    <w:rsid w:val="001F048A"/>
    <w:rsid w:val="001F3B07"/>
    <w:rsid w:val="00201A92"/>
    <w:rsid w:val="00202B82"/>
    <w:rsid w:val="00204116"/>
    <w:rsid w:val="0020778D"/>
    <w:rsid w:val="002114D5"/>
    <w:rsid w:val="002115C2"/>
    <w:rsid w:val="002138FE"/>
    <w:rsid w:val="00213D69"/>
    <w:rsid w:val="002153EC"/>
    <w:rsid w:val="00217F5B"/>
    <w:rsid w:val="002201FC"/>
    <w:rsid w:val="00223BDA"/>
    <w:rsid w:val="002276C0"/>
    <w:rsid w:val="00234744"/>
    <w:rsid w:val="00241907"/>
    <w:rsid w:val="00244384"/>
    <w:rsid w:val="00251196"/>
    <w:rsid w:val="00251761"/>
    <w:rsid w:val="00251905"/>
    <w:rsid w:val="002526B0"/>
    <w:rsid w:val="00256DA8"/>
    <w:rsid w:val="0026151D"/>
    <w:rsid w:val="00261C03"/>
    <w:rsid w:val="0026204A"/>
    <w:rsid w:val="00266D02"/>
    <w:rsid w:val="00267F9D"/>
    <w:rsid w:val="00270038"/>
    <w:rsid w:val="00274792"/>
    <w:rsid w:val="002813EE"/>
    <w:rsid w:val="002815D1"/>
    <w:rsid w:val="00281994"/>
    <w:rsid w:val="00283149"/>
    <w:rsid w:val="002848B7"/>
    <w:rsid w:val="00286EA9"/>
    <w:rsid w:val="00290DB8"/>
    <w:rsid w:val="002919C5"/>
    <w:rsid w:val="00291EB8"/>
    <w:rsid w:val="002A128C"/>
    <w:rsid w:val="002A19C3"/>
    <w:rsid w:val="002A4588"/>
    <w:rsid w:val="002A7C50"/>
    <w:rsid w:val="002B14B0"/>
    <w:rsid w:val="002B6265"/>
    <w:rsid w:val="002C0C21"/>
    <w:rsid w:val="002C4CB9"/>
    <w:rsid w:val="002C596B"/>
    <w:rsid w:val="002C70F8"/>
    <w:rsid w:val="002C77BB"/>
    <w:rsid w:val="002C7FA6"/>
    <w:rsid w:val="002D3E0D"/>
    <w:rsid w:val="002E045F"/>
    <w:rsid w:val="002E1778"/>
    <w:rsid w:val="002E4C2C"/>
    <w:rsid w:val="002E64C0"/>
    <w:rsid w:val="002F7931"/>
    <w:rsid w:val="00301C7C"/>
    <w:rsid w:val="00304B83"/>
    <w:rsid w:val="003060E1"/>
    <w:rsid w:val="0031068A"/>
    <w:rsid w:val="003115FA"/>
    <w:rsid w:val="00320117"/>
    <w:rsid w:val="00321544"/>
    <w:rsid w:val="003218B8"/>
    <w:rsid w:val="00322DB2"/>
    <w:rsid w:val="00323676"/>
    <w:rsid w:val="00324C82"/>
    <w:rsid w:val="00326122"/>
    <w:rsid w:val="0032654C"/>
    <w:rsid w:val="003277B0"/>
    <w:rsid w:val="0033278E"/>
    <w:rsid w:val="003440C4"/>
    <w:rsid w:val="00344791"/>
    <w:rsid w:val="003460D8"/>
    <w:rsid w:val="0035147E"/>
    <w:rsid w:val="0035685A"/>
    <w:rsid w:val="003601EC"/>
    <w:rsid w:val="003646AB"/>
    <w:rsid w:val="00371905"/>
    <w:rsid w:val="00372475"/>
    <w:rsid w:val="003752B9"/>
    <w:rsid w:val="00376524"/>
    <w:rsid w:val="003822F5"/>
    <w:rsid w:val="0038336F"/>
    <w:rsid w:val="0038499F"/>
    <w:rsid w:val="0038519D"/>
    <w:rsid w:val="00387950"/>
    <w:rsid w:val="00387BB5"/>
    <w:rsid w:val="00396318"/>
    <w:rsid w:val="003964A6"/>
    <w:rsid w:val="003974F3"/>
    <w:rsid w:val="003A11E2"/>
    <w:rsid w:val="003A1A05"/>
    <w:rsid w:val="003A5238"/>
    <w:rsid w:val="003A57C8"/>
    <w:rsid w:val="003A661B"/>
    <w:rsid w:val="003A681F"/>
    <w:rsid w:val="003A6963"/>
    <w:rsid w:val="003A7288"/>
    <w:rsid w:val="003B2C7C"/>
    <w:rsid w:val="003B4B0D"/>
    <w:rsid w:val="003B4E93"/>
    <w:rsid w:val="003B51A4"/>
    <w:rsid w:val="003B62A5"/>
    <w:rsid w:val="003C0E53"/>
    <w:rsid w:val="003C7D65"/>
    <w:rsid w:val="003D1FB7"/>
    <w:rsid w:val="003D211B"/>
    <w:rsid w:val="003D2F39"/>
    <w:rsid w:val="003D391F"/>
    <w:rsid w:val="003D52E1"/>
    <w:rsid w:val="003D545D"/>
    <w:rsid w:val="003E1DD7"/>
    <w:rsid w:val="003E3355"/>
    <w:rsid w:val="003E4B6C"/>
    <w:rsid w:val="003E7732"/>
    <w:rsid w:val="003F0764"/>
    <w:rsid w:val="003F0D71"/>
    <w:rsid w:val="003F2701"/>
    <w:rsid w:val="003F5EF0"/>
    <w:rsid w:val="003F6BC7"/>
    <w:rsid w:val="00403FF7"/>
    <w:rsid w:val="004106EC"/>
    <w:rsid w:val="00412A25"/>
    <w:rsid w:val="004142D2"/>
    <w:rsid w:val="00424894"/>
    <w:rsid w:val="0042530C"/>
    <w:rsid w:val="00427922"/>
    <w:rsid w:val="00427B0D"/>
    <w:rsid w:val="00431616"/>
    <w:rsid w:val="004353CC"/>
    <w:rsid w:val="0043695E"/>
    <w:rsid w:val="00442BAD"/>
    <w:rsid w:val="00445928"/>
    <w:rsid w:val="00451651"/>
    <w:rsid w:val="00454BD9"/>
    <w:rsid w:val="00455D39"/>
    <w:rsid w:val="004562EB"/>
    <w:rsid w:val="00460644"/>
    <w:rsid w:val="00463046"/>
    <w:rsid w:val="00467921"/>
    <w:rsid w:val="00467FE1"/>
    <w:rsid w:val="00476979"/>
    <w:rsid w:val="00476D9D"/>
    <w:rsid w:val="00476EB1"/>
    <w:rsid w:val="0048015F"/>
    <w:rsid w:val="004827ED"/>
    <w:rsid w:val="004841B5"/>
    <w:rsid w:val="004854FC"/>
    <w:rsid w:val="004927C9"/>
    <w:rsid w:val="00492828"/>
    <w:rsid w:val="004A33A7"/>
    <w:rsid w:val="004A5B15"/>
    <w:rsid w:val="004B3A7F"/>
    <w:rsid w:val="004B4FE1"/>
    <w:rsid w:val="004B61CF"/>
    <w:rsid w:val="004B6758"/>
    <w:rsid w:val="004B7B82"/>
    <w:rsid w:val="004C1D62"/>
    <w:rsid w:val="004C20C8"/>
    <w:rsid w:val="004C2509"/>
    <w:rsid w:val="004C3EAC"/>
    <w:rsid w:val="004C4A68"/>
    <w:rsid w:val="004C7C8C"/>
    <w:rsid w:val="004C7D4E"/>
    <w:rsid w:val="004D059E"/>
    <w:rsid w:val="004D0CF5"/>
    <w:rsid w:val="004D3130"/>
    <w:rsid w:val="004D483A"/>
    <w:rsid w:val="004D6829"/>
    <w:rsid w:val="004E1259"/>
    <w:rsid w:val="004E5E5C"/>
    <w:rsid w:val="004E6E9E"/>
    <w:rsid w:val="004E71B3"/>
    <w:rsid w:val="004F2577"/>
    <w:rsid w:val="004F4E47"/>
    <w:rsid w:val="004F51F8"/>
    <w:rsid w:val="0050281F"/>
    <w:rsid w:val="005047CF"/>
    <w:rsid w:val="00507A9C"/>
    <w:rsid w:val="0051123E"/>
    <w:rsid w:val="00513D9B"/>
    <w:rsid w:val="00522672"/>
    <w:rsid w:val="005252AD"/>
    <w:rsid w:val="00525A67"/>
    <w:rsid w:val="005275FC"/>
    <w:rsid w:val="00527A18"/>
    <w:rsid w:val="005300E5"/>
    <w:rsid w:val="0053386F"/>
    <w:rsid w:val="0053496D"/>
    <w:rsid w:val="00541393"/>
    <w:rsid w:val="00541582"/>
    <w:rsid w:val="005427F5"/>
    <w:rsid w:val="005452C8"/>
    <w:rsid w:val="005459B1"/>
    <w:rsid w:val="00545C89"/>
    <w:rsid w:val="00547E75"/>
    <w:rsid w:val="00550CF9"/>
    <w:rsid w:val="00551D9C"/>
    <w:rsid w:val="005520E6"/>
    <w:rsid w:val="00553A60"/>
    <w:rsid w:val="0055415F"/>
    <w:rsid w:val="00561C91"/>
    <w:rsid w:val="00563684"/>
    <w:rsid w:val="00571574"/>
    <w:rsid w:val="00572608"/>
    <w:rsid w:val="005757F2"/>
    <w:rsid w:val="00575F2A"/>
    <w:rsid w:val="005819C4"/>
    <w:rsid w:val="00586960"/>
    <w:rsid w:val="00590417"/>
    <w:rsid w:val="005905DE"/>
    <w:rsid w:val="00591EE8"/>
    <w:rsid w:val="00593462"/>
    <w:rsid w:val="005A3E87"/>
    <w:rsid w:val="005A5F46"/>
    <w:rsid w:val="005A64DD"/>
    <w:rsid w:val="005A6686"/>
    <w:rsid w:val="005B4F6F"/>
    <w:rsid w:val="005B691F"/>
    <w:rsid w:val="005C4BD1"/>
    <w:rsid w:val="005C4DB5"/>
    <w:rsid w:val="005C6785"/>
    <w:rsid w:val="005D01FC"/>
    <w:rsid w:val="005D2F08"/>
    <w:rsid w:val="005D4039"/>
    <w:rsid w:val="005D6050"/>
    <w:rsid w:val="005E108C"/>
    <w:rsid w:val="005E2235"/>
    <w:rsid w:val="005E2BE3"/>
    <w:rsid w:val="005E48EA"/>
    <w:rsid w:val="005E54ED"/>
    <w:rsid w:val="005F0B3A"/>
    <w:rsid w:val="005F0BDE"/>
    <w:rsid w:val="005F1607"/>
    <w:rsid w:val="005F1E20"/>
    <w:rsid w:val="005F357F"/>
    <w:rsid w:val="005F50A5"/>
    <w:rsid w:val="005F690B"/>
    <w:rsid w:val="00600779"/>
    <w:rsid w:val="006011D1"/>
    <w:rsid w:val="00603761"/>
    <w:rsid w:val="00603ED0"/>
    <w:rsid w:val="0060489D"/>
    <w:rsid w:val="006077A7"/>
    <w:rsid w:val="00612F07"/>
    <w:rsid w:val="006132E2"/>
    <w:rsid w:val="00616155"/>
    <w:rsid w:val="00616C3C"/>
    <w:rsid w:val="006242C3"/>
    <w:rsid w:val="00626E3B"/>
    <w:rsid w:val="00630245"/>
    <w:rsid w:val="006313E7"/>
    <w:rsid w:val="00631D90"/>
    <w:rsid w:val="00631DC3"/>
    <w:rsid w:val="00633255"/>
    <w:rsid w:val="00635AA2"/>
    <w:rsid w:val="0064011B"/>
    <w:rsid w:val="00643EA8"/>
    <w:rsid w:val="006473C1"/>
    <w:rsid w:val="006475EA"/>
    <w:rsid w:val="0066049B"/>
    <w:rsid w:val="0066248D"/>
    <w:rsid w:val="00662BE4"/>
    <w:rsid w:val="00663DE0"/>
    <w:rsid w:val="00666ED7"/>
    <w:rsid w:val="00667E17"/>
    <w:rsid w:val="0067249A"/>
    <w:rsid w:val="00675DEC"/>
    <w:rsid w:val="00676664"/>
    <w:rsid w:val="00682B73"/>
    <w:rsid w:val="0068461A"/>
    <w:rsid w:val="0068528C"/>
    <w:rsid w:val="00687DE2"/>
    <w:rsid w:val="006929D0"/>
    <w:rsid w:val="006A14CF"/>
    <w:rsid w:val="006A22FF"/>
    <w:rsid w:val="006A35E6"/>
    <w:rsid w:val="006A5EB8"/>
    <w:rsid w:val="006A6CBF"/>
    <w:rsid w:val="006B0718"/>
    <w:rsid w:val="006B23EB"/>
    <w:rsid w:val="006B3606"/>
    <w:rsid w:val="006B43D1"/>
    <w:rsid w:val="006B582A"/>
    <w:rsid w:val="006B732B"/>
    <w:rsid w:val="006B7A5E"/>
    <w:rsid w:val="006C30AB"/>
    <w:rsid w:val="006C4FC4"/>
    <w:rsid w:val="006D47F3"/>
    <w:rsid w:val="006E0AD9"/>
    <w:rsid w:val="006E24D1"/>
    <w:rsid w:val="006E3302"/>
    <w:rsid w:val="006E518E"/>
    <w:rsid w:val="006E6B4A"/>
    <w:rsid w:val="006F0E20"/>
    <w:rsid w:val="006F21CE"/>
    <w:rsid w:val="006F5264"/>
    <w:rsid w:val="006F693F"/>
    <w:rsid w:val="006F70A7"/>
    <w:rsid w:val="006F74CC"/>
    <w:rsid w:val="007007AE"/>
    <w:rsid w:val="00702165"/>
    <w:rsid w:val="00707254"/>
    <w:rsid w:val="00711562"/>
    <w:rsid w:val="0071477B"/>
    <w:rsid w:val="00714972"/>
    <w:rsid w:val="007154F8"/>
    <w:rsid w:val="00715DD2"/>
    <w:rsid w:val="00723BF9"/>
    <w:rsid w:val="00724646"/>
    <w:rsid w:val="00726FF7"/>
    <w:rsid w:val="0073266F"/>
    <w:rsid w:val="007331E2"/>
    <w:rsid w:val="00737EEF"/>
    <w:rsid w:val="007402B9"/>
    <w:rsid w:val="00740AEA"/>
    <w:rsid w:val="007415C1"/>
    <w:rsid w:val="00741749"/>
    <w:rsid w:val="00742E5D"/>
    <w:rsid w:val="007451F2"/>
    <w:rsid w:val="00745AE2"/>
    <w:rsid w:val="00751042"/>
    <w:rsid w:val="00761019"/>
    <w:rsid w:val="007619A4"/>
    <w:rsid w:val="007659D7"/>
    <w:rsid w:val="00767648"/>
    <w:rsid w:val="00770F28"/>
    <w:rsid w:val="00772332"/>
    <w:rsid w:val="00774F0A"/>
    <w:rsid w:val="00776108"/>
    <w:rsid w:val="007768FA"/>
    <w:rsid w:val="00776A28"/>
    <w:rsid w:val="00780606"/>
    <w:rsid w:val="00780B1E"/>
    <w:rsid w:val="00781C7E"/>
    <w:rsid w:val="00786F7D"/>
    <w:rsid w:val="007903A9"/>
    <w:rsid w:val="00791DEE"/>
    <w:rsid w:val="00792843"/>
    <w:rsid w:val="0079529D"/>
    <w:rsid w:val="00797888"/>
    <w:rsid w:val="007A04A6"/>
    <w:rsid w:val="007A4871"/>
    <w:rsid w:val="007B0769"/>
    <w:rsid w:val="007B3E2B"/>
    <w:rsid w:val="007B6B38"/>
    <w:rsid w:val="007C23F2"/>
    <w:rsid w:val="007C2771"/>
    <w:rsid w:val="007C2A8B"/>
    <w:rsid w:val="007D15C1"/>
    <w:rsid w:val="007D2783"/>
    <w:rsid w:val="007D2DB7"/>
    <w:rsid w:val="007D5D11"/>
    <w:rsid w:val="007E25B7"/>
    <w:rsid w:val="007E382D"/>
    <w:rsid w:val="007E639E"/>
    <w:rsid w:val="007F32C3"/>
    <w:rsid w:val="008011E9"/>
    <w:rsid w:val="0080220D"/>
    <w:rsid w:val="0080311A"/>
    <w:rsid w:val="00803806"/>
    <w:rsid w:val="00804900"/>
    <w:rsid w:val="00810F82"/>
    <w:rsid w:val="00812330"/>
    <w:rsid w:val="00813034"/>
    <w:rsid w:val="00816464"/>
    <w:rsid w:val="00817384"/>
    <w:rsid w:val="00820C18"/>
    <w:rsid w:val="00822F33"/>
    <w:rsid w:val="008304C6"/>
    <w:rsid w:val="00835EB8"/>
    <w:rsid w:val="0084075A"/>
    <w:rsid w:val="00845C68"/>
    <w:rsid w:val="00845F0F"/>
    <w:rsid w:val="00851550"/>
    <w:rsid w:val="00854874"/>
    <w:rsid w:val="0085588A"/>
    <w:rsid w:val="008563F0"/>
    <w:rsid w:val="008660D4"/>
    <w:rsid w:val="008707C7"/>
    <w:rsid w:val="00870870"/>
    <w:rsid w:val="00870F00"/>
    <w:rsid w:val="00871BA4"/>
    <w:rsid w:val="00874764"/>
    <w:rsid w:val="008766FA"/>
    <w:rsid w:val="00877157"/>
    <w:rsid w:val="00877181"/>
    <w:rsid w:val="00880A9B"/>
    <w:rsid w:val="0089016F"/>
    <w:rsid w:val="00894441"/>
    <w:rsid w:val="00896B27"/>
    <w:rsid w:val="008A0734"/>
    <w:rsid w:val="008A2B08"/>
    <w:rsid w:val="008A3642"/>
    <w:rsid w:val="008B1765"/>
    <w:rsid w:val="008B292B"/>
    <w:rsid w:val="008B426F"/>
    <w:rsid w:val="008C13B9"/>
    <w:rsid w:val="008C1436"/>
    <w:rsid w:val="008C1E9B"/>
    <w:rsid w:val="008D2169"/>
    <w:rsid w:val="008D5A91"/>
    <w:rsid w:val="008D7987"/>
    <w:rsid w:val="008E0595"/>
    <w:rsid w:val="008E0978"/>
    <w:rsid w:val="008E3491"/>
    <w:rsid w:val="008E6FCA"/>
    <w:rsid w:val="008F2A4A"/>
    <w:rsid w:val="008F604E"/>
    <w:rsid w:val="008F7800"/>
    <w:rsid w:val="00900F9A"/>
    <w:rsid w:val="00905728"/>
    <w:rsid w:val="009063A7"/>
    <w:rsid w:val="00916B0F"/>
    <w:rsid w:val="00922A2D"/>
    <w:rsid w:val="00924D05"/>
    <w:rsid w:val="00926C3F"/>
    <w:rsid w:val="00927C85"/>
    <w:rsid w:val="00927F9C"/>
    <w:rsid w:val="00931643"/>
    <w:rsid w:val="009319AC"/>
    <w:rsid w:val="00932440"/>
    <w:rsid w:val="009332A2"/>
    <w:rsid w:val="00942535"/>
    <w:rsid w:val="009544E0"/>
    <w:rsid w:val="00955D00"/>
    <w:rsid w:val="0096230C"/>
    <w:rsid w:val="009669F3"/>
    <w:rsid w:val="0097269A"/>
    <w:rsid w:val="0097502A"/>
    <w:rsid w:val="00975F59"/>
    <w:rsid w:val="0098083D"/>
    <w:rsid w:val="00984CAD"/>
    <w:rsid w:val="00991567"/>
    <w:rsid w:val="0099402B"/>
    <w:rsid w:val="00995EEA"/>
    <w:rsid w:val="009A04B8"/>
    <w:rsid w:val="009A5C88"/>
    <w:rsid w:val="009A71B5"/>
    <w:rsid w:val="009B3275"/>
    <w:rsid w:val="009B5979"/>
    <w:rsid w:val="009B6654"/>
    <w:rsid w:val="009B764A"/>
    <w:rsid w:val="009B7E6D"/>
    <w:rsid w:val="009B7F1F"/>
    <w:rsid w:val="009C425E"/>
    <w:rsid w:val="009C48DF"/>
    <w:rsid w:val="009C6FDE"/>
    <w:rsid w:val="009D02D2"/>
    <w:rsid w:val="009D06EB"/>
    <w:rsid w:val="009E083F"/>
    <w:rsid w:val="009E2D45"/>
    <w:rsid w:val="009E551F"/>
    <w:rsid w:val="009E5AA6"/>
    <w:rsid w:val="009E69E4"/>
    <w:rsid w:val="009F0B19"/>
    <w:rsid w:val="009F2E4E"/>
    <w:rsid w:val="009F5062"/>
    <w:rsid w:val="00A000F7"/>
    <w:rsid w:val="00A00CFB"/>
    <w:rsid w:val="00A03636"/>
    <w:rsid w:val="00A04B3D"/>
    <w:rsid w:val="00A10216"/>
    <w:rsid w:val="00A11775"/>
    <w:rsid w:val="00A20B46"/>
    <w:rsid w:val="00A23535"/>
    <w:rsid w:val="00A26DD0"/>
    <w:rsid w:val="00A3089F"/>
    <w:rsid w:val="00A3095C"/>
    <w:rsid w:val="00A318E6"/>
    <w:rsid w:val="00A33E43"/>
    <w:rsid w:val="00A35A89"/>
    <w:rsid w:val="00A371B0"/>
    <w:rsid w:val="00A41461"/>
    <w:rsid w:val="00A41F39"/>
    <w:rsid w:val="00A454EE"/>
    <w:rsid w:val="00A45FC9"/>
    <w:rsid w:val="00A53730"/>
    <w:rsid w:val="00A6016D"/>
    <w:rsid w:val="00A63787"/>
    <w:rsid w:val="00A65510"/>
    <w:rsid w:val="00A708EB"/>
    <w:rsid w:val="00A70F46"/>
    <w:rsid w:val="00A7352D"/>
    <w:rsid w:val="00A7355A"/>
    <w:rsid w:val="00A74F97"/>
    <w:rsid w:val="00A76EBD"/>
    <w:rsid w:val="00A84257"/>
    <w:rsid w:val="00A87EB4"/>
    <w:rsid w:val="00A905F8"/>
    <w:rsid w:val="00A975FD"/>
    <w:rsid w:val="00A97C08"/>
    <w:rsid w:val="00A97F91"/>
    <w:rsid w:val="00AB0619"/>
    <w:rsid w:val="00AB1B7E"/>
    <w:rsid w:val="00AB1BA6"/>
    <w:rsid w:val="00AB3470"/>
    <w:rsid w:val="00AB35E4"/>
    <w:rsid w:val="00AB6A27"/>
    <w:rsid w:val="00AC3FF9"/>
    <w:rsid w:val="00AC5680"/>
    <w:rsid w:val="00AD0DE8"/>
    <w:rsid w:val="00AD33CE"/>
    <w:rsid w:val="00AD3427"/>
    <w:rsid w:val="00AD3601"/>
    <w:rsid w:val="00AD65C5"/>
    <w:rsid w:val="00AD7859"/>
    <w:rsid w:val="00AE02D9"/>
    <w:rsid w:val="00AE10FD"/>
    <w:rsid w:val="00AE1A34"/>
    <w:rsid w:val="00AF2104"/>
    <w:rsid w:val="00AF64AE"/>
    <w:rsid w:val="00AF6DA4"/>
    <w:rsid w:val="00B00BAB"/>
    <w:rsid w:val="00B030A7"/>
    <w:rsid w:val="00B03B3D"/>
    <w:rsid w:val="00B046E1"/>
    <w:rsid w:val="00B04773"/>
    <w:rsid w:val="00B06BD9"/>
    <w:rsid w:val="00B079EA"/>
    <w:rsid w:val="00B10697"/>
    <w:rsid w:val="00B10ABF"/>
    <w:rsid w:val="00B13C17"/>
    <w:rsid w:val="00B156EE"/>
    <w:rsid w:val="00B15A96"/>
    <w:rsid w:val="00B1791D"/>
    <w:rsid w:val="00B2154D"/>
    <w:rsid w:val="00B220CB"/>
    <w:rsid w:val="00B2460E"/>
    <w:rsid w:val="00B25F40"/>
    <w:rsid w:val="00B278DA"/>
    <w:rsid w:val="00B34826"/>
    <w:rsid w:val="00B36116"/>
    <w:rsid w:val="00B3640B"/>
    <w:rsid w:val="00B36B68"/>
    <w:rsid w:val="00B36F8B"/>
    <w:rsid w:val="00B373F1"/>
    <w:rsid w:val="00B41D35"/>
    <w:rsid w:val="00B45BDF"/>
    <w:rsid w:val="00B53687"/>
    <w:rsid w:val="00B56070"/>
    <w:rsid w:val="00B60708"/>
    <w:rsid w:val="00B6515C"/>
    <w:rsid w:val="00B659B5"/>
    <w:rsid w:val="00B6610F"/>
    <w:rsid w:val="00B66830"/>
    <w:rsid w:val="00B746D7"/>
    <w:rsid w:val="00B77565"/>
    <w:rsid w:val="00B81702"/>
    <w:rsid w:val="00B823A8"/>
    <w:rsid w:val="00B83E7C"/>
    <w:rsid w:val="00B84715"/>
    <w:rsid w:val="00B879E9"/>
    <w:rsid w:val="00B90307"/>
    <w:rsid w:val="00B91F1C"/>
    <w:rsid w:val="00B94064"/>
    <w:rsid w:val="00BA00B4"/>
    <w:rsid w:val="00BA2283"/>
    <w:rsid w:val="00BA5AE4"/>
    <w:rsid w:val="00BA611D"/>
    <w:rsid w:val="00BB0F51"/>
    <w:rsid w:val="00BB4E6C"/>
    <w:rsid w:val="00BB68C8"/>
    <w:rsid w:val="00BC1D0E"/>
    <w:rsid w:val="00BC20C8"/>
    <w:rsid w:val="00BC4B77"/>
    <w:rsid w:val="00BC6A72"/>
    <w:rsid w:val="00BC72BA"/>
    <w:rsid w:val="00BC7844"/>
    <w:rsid w:val="00BD2558"/>
    <w:rsid w:val="00BD41A8"/>
    <w:rsid w:val="00BD7826"/>
    <w:rsid w:val="00BE04A4"/>
    <w:rsid w:val="00BF4EEE"/>
    <w:rsid w:val="00BF6586"/>
    <w:rsid w:val="00BF6BDE"/>
    <w:rsid w:val="00C007A6"/>
    <w:rsid w:val="00C007F5"/>
    <w:rsid w:val="00C063CC"/>
    <w:rsid w:val="00C12A77"/>
    <w:rsid w:val="00C1678D"/>
    <w:rsid w:val="00C246C1"/>
    <w:rsid w:val="00C24B85"/>
    <w:rsid w:val="00C26DA0"/>
    <w:rsid w:val="00C26E7B"/>
    <w:rsid w:val="00C270DF"/>
    <w:rsid w:val="00C276E5"/>
    <w:rsid w:val="00C3364F"/>
    <w:rsid w:val="00C336DE"/>
    <w:rsid w:val="00C369C5"/>
    <w:rsid w:val="00C42378"/>
    <w:rsid w:val="00C42FFD"/>
    <w:rsid w:val="00C4419D"/>
    <w:rsid w:val="00C51C81"/>
    <w:rsid w:val="00C5216E"/>
    <w:rsid w:val="00C607F9"/>
    <w:rsid w:val="00C62821"/>
    <w:rsid w:val="00C6546E"/>
    <w:rsid w:val="00C72190"/>
    <w:rsid w:val="00C76417"/>
    <w:rsid w:val="00C802C7"/>
    <w:rsid w:val="00C817F3"/>
    <w:rsid w:val="00C863C6"/>
    <w:rsid w:val="00C91787"/>
    <w:rsid w:val="00C92420"/>
    <w:rsid w:val="00C93E80"/>
    <w:rsid w:val="00CA0482"/>
    <w:rsid w:val="00CA0AEE"/>
    <w:rsid w:val="00CA1B28"/>
    <w:rsid w:val="00CA1BB7"/>
    <w:rsid w:val="00CA28B8"/>
    <w:rsid w:val="00CA2E35"/>
    <w:rsid w:val="00CA3E4B"/>
    <w:rsid w:val="00CA53D7"/>
    <w:rsid w:val="00CB04F8"/>
    <w:rsid w:val="00CB25BF"/>
    <w:rsid w:val="00CB3455"/>
    <w:rsid w:val="00CB598B"/>
    <w:rsid w:val="00CC5509"/>
    <w:rsid w:val="00CC620C"/>
    <w:rsid w:val="00CC69BE"/>
    <w:rsid w:val="00CD1511"/>
    <w:rsid w:val="00CD5C6D"/>
    <w:rsid w:val="00CE4143"/>
    <w:rsid w:val="00CE520A"/>
    <w:rsid w:val="00CE6B83"/>
    <w:rsid w:val="00CE7976"/>
    <w:rsid w:val="00CF187E"/>
    <w:rsid w:val="00CF312C"/>
    <w:rsid w:val="00CF346F"/>
    <w:rsid w:val="00CF4CAB"/>
    <w:rsid w:val="00D02DAA"/>
    <w:rsid w:val="00D03842"/>
    <w:rsid w:val="00D05D54"/>
    <w:rsid w:val="00D107F0"/>
    <w:rsid w:val="00D14EB0"/>
    <w:rsid w:val="00D2044D"/>
    <w:rsid w:val="00D20CF3"/>
    <w:rsid w:val="00D24102"/>
    <w:rsid w:val="00D24895"/>
    <w:rsid w:val="00D26198"/>
    <w:rsid w:val="00D3207A"/>
    <w:rsid w:val="00D32EB0"/>
    <w:rsid w:val="00D3539C"/>
    <w:rsid w:val="00D40456"/>
    <w:rsid w:val="00D40A7B"/>
    <w:rsid w:val="00D45AC7"/>
    <w:rsid w:val="00D540B8"/>
    <w:rsid w:val="00D571B3"/>
    <w:rsid w:val="00D651B2"/>
    <w:rsid w:val="00D675EB"/>
    <w:rsid w:val="00D71824"/>
    <w:rsid w:val="00D730B0"/>
    <w:rsid w:val="00D805DF"/>
    <w:rsid w:val="00D812A6"/>
    <w:rsid w:val="00D83B1F"/>
    <w:rsid w:val="00D8412F"/>
    <w:rsid w:val="00D84A70"/>
    <w:rsid w:val="00D869B9"/>
    <w:rsid w:val="00D86E85"/>
    <w:rsid w:val="00D87148"/>
    <w:rsid w:val="00D87CF9"/>
    <w:rsid w:val="00D916FC"/>
    <w:rsid w:val="00D949F6"/>
    <w:rsid w:val="00D94DE1"/>
    <w:rsid w:val="00D96A80"/>
    <w:rsid w:val="00DA63AD"/>
    <w:rsid w:val="00DA6BC2"/>
    <w:rsid w:val="00DA6BE0"/>
    <w:rsid w:val="00DB0A82"/>
    <w:rsid w:val="00DB0EFE"/>
    <w:rsid w:val="00DB384C"/>
    <w:rsid w:val="00DB3E09"/>
    <w:rsid w:val="00DC4E3B"/>
    <w:rsid w:val="00DD0850"/>
    <w:rsid w:val="00DD5C5A"/>
    <w:rsid w:val="00DE122C"/>
    <w:rsid w:val="00DE17C3"/>
    <w:rsid w:val="00DE2196"/>
    <w:rsid w:val="00DE27A8"/>
    <w:rsid w:val="00DE574E"/>
    <w:rsid w:val="00DE7029"/>
    <w:rsid w:val="00DF2288"/>
    <w:rsid w:val="00E00650"/>
    <w:rsid w:val="00E00B11"/>
    <w:rsid w:val="00E029B4"/>
    <w:rsid w:val="00E032D3"/>
    <w:rsid w:val="00E041C8"/>
    <w:rsid w:val="00E04D1B"/>
    <w:rsid w:val="00E06615"/>
    <w:rsid w:val="00E11CE4"/>
    <w:rsid w:val="00E13296"/>
    <w:rsid w:val="00E13FC8"/>
    <w:rsid w:val="00E145BB"/>
    <w:rsid w:val="00E258C9"/>
    <w:rsid w:val="00E260D3"/>
    <w:rsid w:val="00E27358"/>
    <w:rsid w:val="00E30761"/>
    <w:rsid w:val="00E32C20"/>
    <w:rsid w:val="00E33B17"/>
    <w:rsid w:val="00E34CCF"/>
    <w:rsid w:val="00E37BEC"/>
    <w:rsid w:val="00E418F4"/>
    <w:rsid w:val="00E41A4C"/>
    <w:rsid w:val="00E439C1"/>
    <w:rsid w:val="00E44428"/>
    <w:rsid w:val="00E460E2"/>
    <w:rsid w:val="00E46BCF"/>
    <w:rsid w:val="00E52879"/>
    <w:rsid w:val="00E54AAC"/>
    <w:rsid w:val="00E55332"/>
    <w:rsid w:val="00E57681"/>
    <w:rsid w:val="00E61767"/>
    <w:rsid w:val="00E61BDB"/>
    <w:rsid w:val="00E623A6"/>
    <w:rsid w:val="00E67E9D"/>
    <w:rsid w:val="00E703C8"/>
    <w:rsid w:val="00E704EF"/>
    <w:rsid w:val="00E7173A"/>
    <w:rsid w:val="00E75263"/>
    <w:rsid w:val="00E76DAE"/>
    <w:rsid w:val="00E775BE"/>
    <w:rsid w:val="00E80A16"/>
    <w:rsid w:val="00E816F3"/>
    <w:rsid w:val="00E82F9E"/>
    <w:rsid w:val="00E84772"/>
    <w:rsid w:val="00E8678C"/>
    <w:rsid w:val="00E90EBD"/>
    <w:rsid w:val="00E93AF6"/>
    <w:rsid w:val="00E9442C"/>
    <w:rsid w:val="00E96189"/>
    <w:rsid w:val="00E97225"/>
    <w:rsid w:val="00E972DF"/>
    <w:rsid w:val="00EA18EC"/>
    <w:rsid w:val="00EA2270"/>
    <w:rsid w:val="00EA3842"/>
    <w:rsid w:val="00EA59AD"/>
    <w:rsid w:val="00EA6367"/>
    <w:rsid w:val="00EB1030"/>
    <w:rsid w:val="00EB2B73"/>
    <w:rsid w:val="00EB2CD9"/>
    <w:rsid w:val="00EB7301"/>
    <w:rsid w:val="00EC0176"/>
    <w:rsid w:val="00EC2A57"/>
    <w:rsid w:val="00EC755C"/>
    <w:rsid w:val="00ED0B52"/>
    <w:rsid w:val="00ED3F18"/>
    <w:rsid w:val="00EE1FA1"/>
    <w:rsid w:val="00EE21DC"/>
    <w:rsid w:val="00EE5A9C"/>
    <w:rsid w:val="00EF261E"/>
    <w:rsid w:val="00EF5EC8"/>
    <w:rsid w:val="00EF7C94"/>
    <w:rsid w:val="00F002D3"/>
    <w:rsid w:val="00F03ECE"/>
    <w:rsid w:val="00F0401D"/>
    <w:rsid w:val="00F0454D"/>
    <w:rsid w:val="00F130CC"/>
    <w:rsid w:val="00F20201"/>
    <w:rsid w:val="00F20F35"/>
    <w:rsid w:val="00F213A5"/>
    <w:rsid w:val="00F217D0"/>
    <w:rsid w:val="00F22E5E"/>
    <w:rsid w:val="00F23D1D"/>
    <w:rsid w:val="00F251A7"/>
    <w:rsid w:val="00F25A1B"/>
    <w:rsid w:val="00F3065F"/>
    <w:rsid w:val="00F32B28"/>
    <w:rsid w:val="00F32F66"/>
    <w:rsid w:val="00F33051"/>
    <w:rsid w:val="00F33110"/>
    <w:rsid w:val="00F362EA"/>
    <w:rsid w:val="00F46F4C"/>
    <w:rsid w:val="00F471C2"/>
    <w:rsid w:val="00F5069B"/>
    <w:rsid w:val="00F519A4"/>
    <w:rsid w:val="00F52411"/>
    <w:rsid w:val="00F54BBB"/>
    <w:rsid w:val="00F558AB"/>
    <w:rsid w:val="00F65BED"/>
    <w:rsid w:val="00F72D85"/>
    <w:rsid w:val="00F763E1"/>
    <w:rsid w:val="00F7678E"/>
    <w:rsid w:val="00F844EC"/>
    <w:rsid w:val="00F938FA"/>
    <w:rsid w:val="00F93D23"/>
    <w:rsid w:val="00F959BD"/>
    <w:rsid w:val="00FA02DB"/>
    <w:rsid w:val="00FA07A8"/>
    <w:rsid w:val="00FA24ED"/>
    <w:rsid w:val="00FA2603"/>
    <w:rsid w:val="00FA2A75"/>
    <w:rsid w:val="00FA2C51"/>
    <w:rsid w:val="00FA55E1"/>
    <w:rsid w:val="00FA7072"/>
    <w:rsid w:val="00FB3018"/>
    <w:rsid w:val="00FC1923"/>
    <w:rsid w:val="00FC1E51"/>
    <w:rsid w:val="00FC2C50"/>
    <w:rsid w:val="00FC2E35"/>
    <w:rsid w:val="00FC439A"/>
    <w:rsid w:val="00FC5FC1"/>
    <w:rsid w:val="00FC710D"/>
    <w:rsid w:val="00FC7695"/>
    <w:rsid w:val="00FC76AE"/>
    <w:rsid w:val="00FD1E39"/>
    <w:rsid w:val="00FD2D5E"/>
    <w:rsid w:val="00FD571D"/>
    <w:rsid w:val="00FD6334"/>
    <w:rsid w:val="00FD64E3"/>
    <w:rsid w:val="00FD6832"/>
    <w:rsid w:val="00FD6877"/>
    <w:rsid w:val="00FE0CA6"/>
    <w:rsid w:val="00FE49FA"/>
    <w:rsid w:val="00FE523C"/>
    <w:rsid w:val="00FF50E1"/>
    <w:rsid w:val="05B07257"/>
    <w:rsid w:val="0BC4FF31"/>
    <w:rsid w:val="4A8BA5BE"/>
    <w:rsid w:val="517825E7"/>
    <w:rsid w:val="51EF84E9"/>
    <w:rsid w:val="5EB1A44E"/>
    <w:rsid w:val="74E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D2D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686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A11E2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151A8"/>
    <w:pPr>
      <w:numPr>
        <w:ilvl w:val="1"/>
      </w:numPr>
      <w:spacing w:before="200"/>
      <w:outlineLvl w:val="1"/>
    </w:pPr>
    <w:rPr>
      <w:b w:val="0"/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51A8"/>
    <w:pPr>
      <w:keepNext/>
      <w:keepLines/>
      <w:spacing w:before="200" w:after="0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044D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11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11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11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11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11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11E2"/>
    <w:rPr>
      <w:rFonts w:ascii="Arial" w:eastAsiaTheme="majorEastAsia" w:hAnsi="Arial" w:cstheme="majorBidi"/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D2044D"/>
    <w:pPr>
      <w:ind w:left="708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151A8"/>
    <w:rPr>
      <w:rFonts w:ascii="Arial" w:eastAsiaTheme="majorEastAsia" w:hAnsi="Arial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151A8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D2044D"/>
    <w:rPr>
      <w:rFonts w:ascii="Arial" w:eastAsiaTheme="majorEastAsia" w:hAnsi="Arial" w:cstheme="majorBidi"/>
      <w:bCs/>
      <w:iCs/>
    </w:rPr>
  </w:style>
  <w:style w:type="paragraph" w:styleId="Zhlav">
    <w:name w:val="header"/>
    <w:basedOn w:val="Normln"/>
    <w:link w:val="ZhlavChar"/>
    <w:uiPriority w:val="99"/>
    <w:unhideWhenUsed/>
    <w:rsid w:val="009D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2D2"/>
  </w:style>
  <w:style w:type="paragraph" w:styleId="Zpat">
    <w:name w:val="footer"/>
    <w:basedOn w:val="Normln"/>
    <w:link w:val="ZpatChar"/>
    <w:uiPriority w:val="99"/>
    <w:unhideWhenUsed/>
    <w:rsid w:val="009D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2D2"/>
  </w:style>
  <w:style w:type="paragraph" w:styleId="Nadpisobsahu">
    <w:name w:val="TOC Heading"/>
    <w:basedOn w:val="Nadpis1"/>
    <w:next w:val="Normln"/>
    <w:uiPriority w:val="39"/>
    <w:unhideWhenUsed/>
    <w:qFormat/>
    <w:rsid w:val="00E54AAC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851550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0BA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00BAB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B00BA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BA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11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11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11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11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11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C063CC"/>
    <w:pPr>
      <w:spacing w:after="0" w:line="240" w:lineRule="auto"/>
    </w:pPr>
    <w:rPr>
      <w:rFonts w:eastAsiaTheme="minorEastAsia"/>
      <w:lang w:eastAsia="cs-CZ"/>
    </w:rPr>
  </w:style>
  <w:style w:type="numbering" w:customStyle="1" w:styleId="Styl1">
    <w:name w:val="Styl1"/>
    <w:uiPriority w:val="99"/>
    <w:rsid w:val="00C063CC"/>
    <w:pPr>
      <w:numPr>
        <w:numId w:val="28"/>
      </w:numPr>
    </w:pPr>
  </w:style>
  <w:style w:type="character" w:styleId="Siln">
    <w:name w:val="Strong"/>
    <w:aliases w:val="Nadpis 1A"/>
    <w:basedOn w:val="Nadpis1Char"/>
    <w:uiPriority w:val="22"/>
    <w:qFormat/>
    <w:rsid w:val="006C30AB"/>
    <w:rPr>
      <w:rFonts w:ascii="Arial" w:eastAsiaTheme="majorEastAsia" w:hAnsi="Arial" w:cstheme="majorBidi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C607F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607F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C607F9"/>
  </w:style>
  <w:style w:type="character" w:customStyle="1" w:styleId="xbe">
    <w:name w:val="_xbe"/>
    <w:basedOn w:val="Standardnpsmoodstavce"/>
    <w:rsid w:val="00C607F9"/>
  </w:style>
  <w:style w:type="paragraph" w:styleId="Seznam2">
    <w:name w:val="List 2"/>
    <w:basedOn w:val="Normln"/>
    <w:rsid w:val="00C607F9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3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E8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E80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63046"/>
    <w:pPr>
      <w:spacing w:after="0" w:line="240" w:lineRule="auto"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6B0718"/>
    <w:rPr>
      <w:color w:val="808080"/>
      <w:shd w:val="clear" w:color="auto" w:fill="E6E6E6"/>
    </w:rPr>
  </w:style>
  <w:style w:type="paragraph" w:styleId="Titulek">
    <w:name w:val="caption"/>
    <w:basedOn w:val="Normln"/>
    <w:next w:val="Normln"/>
    <w:uiPriority w:val="35"/>
    <w:unhideWhenUsed/>
    <w:qFormat/>
    <w:rsid w:val="0093244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473C1"/>
    <w:rPr>
      <w:color w:val="800080" w:themeColor="followed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72608"/>
    <w:rPr>
      <w:rFonts w:ascii="Arial" w:hAnsi="Arial"/>
    </w:rPr>
  </w:style>
  <w:style w:type="paragraph" w:customStyle="1" w:styleId="TIRAZ">
    <w:name w:val="TIRAZ"/>
    <w:basedOn w:val="Normln"/>
    <w:qFormat/>
    <w:rsid w:val="006132E2"/>
    <w:pPr>
      <w:widowControl w:val="0"/>
      <w:autoSpaceDE w:val="0"/>
      <w:autoSpaceDN w:val="0"/>
      <w:adjustRightInd w:val="0"/>
      <w:spacing w:before="227" w:after="0" w:line="260" w:lineRule="exact"/>
      <w:jc w:val="center"/>
    </w:pPr>
    <w:rPr>
      <w:rFonts w:ascii="Verdana" w:eastAsia="Times New Roman" w:hAnsi="Verdana" w:cs="Verdana"/>
      <w:color w:val="211D1E"/>
      <w:sz w:val="20"/>
      <w:szCs w:val="20"/>
      <w:lang w:eastAsia="cs-CZ"/>
    </w:rPr>
  </w:style>
  <w:style w:type="character" w:customStyle="1" w:styleId="eop">
    <w:name w:val="eop"/>
    <w:basedOn w:val="Standardnpsmoodstavce"/>
    <w:rsid w:val="003822F5"/>
  </w:style>
  <w:style w:type="character" w:customStyle="1" w:styleId="normaltextrun">
    <w:name w:val="normaltextrun"/>
    <w:basedOn w:val="Standardnpsmoodstavce"/>
    <w:rsid w:val="001E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on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872F1E37C794C8136DC18099F0A35" ma:contentTypeVersion="2" ma:contentTypeDescription="Vytvoří nový dokument" ma:contentTypeScope="" ma:versionID="f180f1b3e7ef01ccc93a21e250854716">
  <xsd:schema xmlns:xsd="http://www.w3.org/2001/XMLSchema" xmlns:xs="http://www.w3.org/2001/XMLSchema" xmlns:p="http://schemas.microsoft.com/office/2006/metadata/properties" xmlns:ns2="ccedceea-9a96-4aa4-9a01-3e0cee95752f" targetNamespace="http://schemas.microsoft.com/office/2006/metadata/properties" ma:root="true" ma:fieldsID="9fccbe11bc612cd5e7e781affae9dbcb" ns2:_="">
    <xsd:import namespace="ccedceea-9a96-4aa4-9a01-3e0cee95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dceea-9a96-4aa4-9a01-3e0cee95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3F445-2A4F-4EED-AFB4-A7CDD7A40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B0FF1-69C8-4AA1-A1FB-F101D6C68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F481-085D-4BCB-8845-2FA94BE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dceea-9a96-4aa4-9a01-3e0cee95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94F04-DF7D-4671-BB2C-72A5B27F3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2022-03-08T11:30:00Z</dcterms:created>
  <dcterms:modified xsi:type="dcterms:W3CDTF">2025-01-29T11:45:00Z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0x010100C46872F1E37C794C8136DC18099F0A35</vt:lpwstr>
  </property>
</Properties>
</file>