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0C602C" w:rsidRDefault="001F448B" w:rsidP="000C602C">
      <w:pPr>
        <w:pStyle w:val="Nadpis2"/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D08DC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72221054"/>
    </w:p>
    <w:p w:rsidR="0002524D" w:rsidRPr="0002524D" w:rsidRDefault="002B3C8D" w:rsidP="002B3C8D">
      <w:pPr>
        <w:pStyle w:val="Zkladntext"/>
        <w:ind w:left="142"/>
        <w:rPr>
          <w:b/>
          <w:bCs/>
          <w:spacing w:val="-2"/>
        </w:rPr>
      </w:pPr>
      <w:bookmarkStart w:id="1" w:name="_Hlk189049298"/>
      <w:bookmarkStart w:id="2" w:name="_GoBack"/>
      <w:bookmarkEnd w:id="0"/>
      <w:bookmarkEnd w:id="2"/>
      <w:r w:rsidRPr="002B3C8D">
        <w:rPr>
          <w:b/>
          <w:bCs/>
          <w:spacing w:val="-2"/>
        </w:rPr>
        <w:t>Cyklostezka Ohře – Pomezí-Cheb – výkon koordinátora bezpečnosti a ochrany</w:t>
      </w:r>
      <w:r>
        <w:rPr>
          <w:b/>
          <w:bCs/>
          <w:spacing w:val="-2"/>
        </w:rPr>
        <w:t xml:space="preserve"> </w:t>
      </w:r>
      <w:r w:rsidRPr="002B3C8D">
        <w:rPr>
          <w:b/>
          <w:bCs/>
          <w:spacing w:val="-2"/>
        </w:rPr>
        <w:t xml:space="preserve">zdraví při práci </w:t>
      </w:r>
      <w:r>
        <w:rPr>
          <w:b/>
          <w:bCs/>
          <w:spacing w:val="-2"/>
        </w:rPr>
        <w:t xml:space="preserve">   </w:t>
      </w:r>
      <w:r w:rsidRPr="002B3C8D">
        <w:rPr>
          <w:b/>
          <w:bCs/>
          <w:spacing w:val="-2"/>
        </w:rPr>
        <w:t>na staveništi</w:t>
      </w:r>
    </w:p>
    <w:bookmarkEnd w:id="1"/>
    <w:p w:rsidR="0002524D" w:rsidRDefault="0002524D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F9ED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3" w:name="V_[VYPLNÍ_DODAVATEL]_dne_[VYPLNÍ_DODAVAT"/>
      <w:bookmarkEnd w:id="3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1A94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C23F2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F2"/>
    <w:rsid w:val="0002524D"/>
    <w:rsid w:val="000C602C"/>
    <w:rsid w:val="001C23F2"/>
    <w:rsid w:val="001F448B"/>
    <w:rsid w:val="002B3C8D"/>
    <w:rsid w:val="0046744D"/>
    <w:rsid w:val="00602F97"/>
    <w:rsid w:val="00711219"/>
    <w:rsid w:val="00731C83"/>
    <w:rsid w:val="00820914"/>
    <w:rsid w:val="00C024A8"/>
    <w:rsid w:val="00CA3C13"/>
    <w:rsid w:val="00DA23E8"/>
    <w:rsid w:val="00F32E92"/>
    <w:rsid w:val="00F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5BA839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Drobilová Monika</cp:lastModifiedBy>
  <cp:revision>7</cp:revision>
  <dcterms:created xsi:type="dcterms:W3CDTF">2024-08-15T11:26:00Z</dcterms:created>
  <dcterms:modified xsi:type="dcterms:W3CDTF">2025-03-14T11:57:00Z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