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13B21183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A94C56">
        <w:rPr>
          <w:b/>
          <w:sz w:val="28"/>
          <w:szCs w:val="28"/>
        </w:rPr>
        <w:t xml:space="preserve">III/212 4 a III/212 15 Modernizace křižovatky Libavské Údolí 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540B66AB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A94C56">
      <w:rPr>
        <w:sz w:val="18"/>
        <w:szCs w:val="18"/>
      </w:rPr>
      <w:t>III/212 4 a III/212 15 Modernizace křižovatky Libavské Údolí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94C5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12</cp:revision>
  <cp:lastPrinted>2014-03-24T08:25:00Z</cp:lastPrinted>
  <dcterms:created xsi:type="dcterms:W3CDTF">2019-02-06T09:16:00Z</dcterms:created>
  <dcterms:modified xsi:type="dcterms:W3CDTF">2023-10-16T12:17:00Z</dcterms:modified>
</cp:coreProperties>
</file>