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F1F39" w14:textId="723D42AC" w:rsidR="007F0941" w:rsidRDefault="009E2181">
      <w:pPr>
        <w:jc w:val="both"/>
        <w:rPr>
          <w:rFonts w:ascii="Arial" w:hAnsi="Arial" w:cs="Arial"/>
          <w:b/>
          <w:sz w:val="28"/>
        </w:rPr>
      </w:pPr>
      <w:r>
        <w:rPr>
          <w:rFonts w:ascii="Arial" w:hAnsi="Arial" w:cs="Arial"/>
          <w:b/>
          <w:sz w:val="28"/>
        </w:rPr>
        <w:t xml:space="preserve">Just </w:t>
      </w:r>
      <w:r w:rsidR="00DD5B0C">
        <w:rPr>
          <w:rFonts w:ascii="Arial" w:hAnsi="Arial" w:cs="Arial"/>
          <w:b/>
          <w:sz w:val="28"/>
        </w:rPr>
        <w:t xml:space="preserve">Transition </w:t>
      </w:r>
      <w:r>
        <w:rPr>
          <w:rFonts w:ascii="Arial" w:hAnsi="Arial" w:cs="Arial"/>
          <w:b/>
          <w:sz w:val="28"/>
        </w:rPr>
        <w:t xml:space="preserve">Fund </w:t>
      </w:r>
      <w:r w:rsidR="00DD5B0C">
        <w:rPr>
          <w:rFonts w:ascii="Arial" w:hAnsi="Arial" w:cs="Arial"/>
          <w:b/>
          <w:sz w:val="28"/>
        </w:rPr>
        <w:t xml:space="preserve">— </w:t>
      </w:r>
      <w:r w:rsidR="00CA5EF6">
        <w:rPr>
          <w:rFonts w:ascii="Arial" w:hAnsi="Arial" w:cs="Arial"/>
          <w:b/>
          <w:sz w:val="28"/>
        </w:rPr>
        <w:t>Strategic</w:t>
      </w:r>
      <w:r w:rsidR="00DD5B0C">
        <w:rPr>
          <w:rFonts w:ascii="Arial" w:hAnsi="Arial" w:cs="Arial"/>
          <w:b/>
          <w:sz w:val="28"/>
        </w:rPr>
        <w:t xml:space="preserve"> Project Proposal Assessment</w:t>
      </w:r>
    </w:p>
    <w:p w14:paraId="788D9E7A" w14:textId="77777777" w:rsidR="007F0941" w:rsidRDefault="00DD5B0C">
      <w:pPr>
        <w:jc w:val="both"/>
        <w:rPr>
          <w:rFonts w:ascii="Arial" w:hAnsi="Arial" w:cs="Arial"/>
          <w:i/>
          <w:sz w:val="16"/>
        </w:rPr>
      </w:pPr>
      <w:r>
        <w:rPr>
          <w:rFonts w:ascii="Arial" w:hAnsi="Arial" w:cs="Arial"/>
          <w:i/>
          <w:sz w:val="16"/>
        </w:rPr>
        <w:t>(Assessment reporting on relevant information provided in the project documentation)</w:t>
      </w:r>
    </w:p>
    <w:p w14:paraId="6C05A72D" w14:textId="77777777" w:rsidR="007F2832" w:rsidRDefault="007F2832">
      <w:pPr>
        <w:jc w:val="both"/>
        <w:rPr>
          <w:rFonts w:ascii="Arial" w:hAnsi="Arial" w:cs="Arial"/>
          <w:b/>
          <w:sz w:val="24"/>
          <w:u w:val="single"/>
        </w:rPr>
      </w:pPr>
    </w:p>
    <w:p w14:paraId="2FEB691A" w14:textId="77777777" w:rsidR="007F2832" w:rsidRDefault="007F2832" w:rsidP="007F2832">
      <w:pPr>
        <w:jc w:val="both"/>
        <w:rPr>
          <w:rFonts w:ascii="Arial" w:hAnsi="Arial" w:cs="Arial"/>
          <w:b/>
          <w:sz w:val="24"/>
          <w:u w:val="single"/>
        </w:rPr>
      </w:pPr>
      <w:r>
        <w:rPr>
          <w:rFonts w:ascii="Arial" w:hAnsi="Arial" w:cs="Arial"/>
          <w:b/>
          <w:sz w:val="24"/>
          <w:u w:val="single"/>
        </w:rPr>
        <w:t>Project details</w:t>
      </w:r>
    </w:p>
    <w:p w14:paraId="752BD8BE" w14:textId="77777777" w:rsidR="007F2832" w:rsidRDefault="007F2832" w:rsidP="007F2832">
      <w:pPr>
        <w:jc w:val="both"/>
        <w:rPr>
          <w:rFonts w:ascii="Arial" w:hAnsi="Arial" w:cs="Arial"/>
          <w:b/>
          <w:sz w:val="24"/>
          <w:u w:val="single"/>
        </w:rPr>
      </w:pPr>
    </w:p>
    <w:tbl>
      <w:tblPr>
        <w:tblStyle w:val="TableGrid"/>
        <w:tblW w:w="0" w:type="auto"/>
        <w:tblCellMar>
          <w:top w:w="85" w:type="dxa"/>
          <w:bottom w:w="85" w:type="dxa"/>
        </w:tblCellMar>
        <w:tblLook w:val="04A0" w:firstRow="1" w:lastRow="0" w:firstColumn="1" w:lastColumn="0" w:noHBand="0" w:noVBand="1"/>
      </w:tblPr>
      <w:tblGrid>
        <w:gridCol w:w="4508"/>
        <w:gridCol w:w="4508"/>
      </w:tblGrid>
      <w:tr w:rsidR="007F2832" w14:paraId="02A479CE" w14:textId="77777777" w:rsidTr="00A70278">
        <w:tc>
          <w:tcPr>
            <w:tcW w:w="4508" w:type="dxa"/>
          </w:tcPr>
          <w:p w14:paraId="2E26EA1C" w14:textId="77777777" w:rsidR="007F2832" w:rsidRPr="00A70278" w:rsidRDefault="007F2832" w:rsidP="007F2832">
            <w:pPr>
              <w:jc w:val="both"/>
              <w:rPr>
                <w:rFonts w:ascii="Arial" w:hAnsi="Arial" w:cs="Arial"/>
                <w:i/>
                <w:sz w:val="24"/>
              </w:rPr>
            </w:pPr>
            <w:r w:rsidRPr="004250A9">
              <w:rPr>
                <w:rFonts w:ascii="Arial" w:hAnsi="Arial" w:cs="Arial"/>
                <w:i/>
                <w:sz w:val="24"/>
              </w:rPr>
              <w:t>Project name</w:t>
            </w:r>
          </w:p>
        </w:tc>
        <w:tc>
          <w:tcPr>
            <w:tcW w:w="4508" w:type="dxa"/>
          </w:tcPr>
          <w:p w14:paraId="25EFFC08" w14:textId="0850F452" w:rsidR="007F2832" w:rsidRPr="00093B19" w:rsidRDefault="0054620D" w:rsidP="007F2832">
            <w:pPr>
              <w:jc w:val="both"/>
              <w:rPr>
                <w:rFonts w:ascii="Arial" w:hAnsi="Arial" w:cs="Arial"/>
                <w:sz w:val="24"/>
              </w:rPr>
            </w:pPr>
            <w:r w:rsidRPr="0054620D">
              <w:rPr>
                <w:rFonts w:ascii="Arial" w:hAnsi="Arial" w:cs="Arial"/>
                <w:sz w:val="24"/>
              </w:rPr>
              <w:t xml:space="preserve">Regional Business Park </w:t>
            </w:r>
            <w:proofErr w:type="spellStart"/>
            <w:r w:rsidRPr="0054620D">
              <w:rPr>
                <w:rFonts w:ascii="Arial" w:hAnsi="Arial" w:cs="Arial"/>
                <w:sz w:val="24"/>
              </w:rPr>
              <w:t>Sokolov</w:t>
            </w:r>
            <w:proofErr w:type="spellEnd"/>
            <w:r w:rsidRPr="0054620D">
              <w:rPr>
                <w:rFonts w:ascii="Arial" w:hAnsi="Arial" w:cs="Arial"/>
                <w:sz w:val="24"/>
              </w:rPr>
              <w:t xml:space="preserve"> (kbps)</w:t>
            </w:r>
          </w:p>
        </w:tc>
      </w:tr>
      <w:tr w:rsidR="007F2832" w14:paraId="020922AC" w14:textId="77777777" w:rsidTr="00A70278">
        <w:tc>
          <w:tcPr>
            <w:tcW w:w="4508" w:type="dxa"/>
          </w:tcPr>
          <w:p w14:paraId="7AE17E78" w14:textId="77777777" w:rsidR="007F2832" w:rsidRPr="00A70278" w:rsidRDefault="007F2832" w:rsidP="007F2832">
            <w:pPr>
              <w:jc w:val="both"/>
              <w:rPr>
                <w:rFonts w:ascii="Arial" w:hAnsi="Arial" w:cs="Arial"/>
                <w:i/>
                <w:sz w:val="24"/>
              </w:rPr>
            </w:pPr>
            <w:r w:rsidRPr="00A70278">
              <w:rPr>
                <w:rFonts w:ascii="Arial" w:hAnsi="Arial" w:cs="Arial"/>
                <w:i/>
                <w:sz w:val="24"/>
              </w:rPr>
              <w:t>Beneficiary</w:t>
            </w:r>
          </w:p>
        </w:tc>
        <w:tc>
          <w:tcPr>
            <w:tcW w:w="4508" w:type="dxa"/>
          </w:tcPr>
          <w:p w14:paraId="37BDA8FF" w14:textId="2F01BAAB" w:rsidR="007F2832" w:rsidRPr="0054620D" w:rsidRDefault="0054620D" w:rsidP="0054620D">
            <w:pPr>
              <w:jc w:val="both"/>
              <w:rPr>
                <w:rFonts w:ascii="Arial" w:hAnsi="Arial" w:cs="Arial"/>
                <w:sz w:val="24"/>
              </w:rPr>
            </w:pPr>
            <w:proofErr w:type="spellStart"/>
            <w:r w:rsidRPr="0054620D">
              <w:rPr>
                <w:rFonts w:ascii="Arial" w:hAnsi="Arial" w:cs="Arial"/>
                <w:sz w:val="24"/>
              </w:rPr>
              <w:t>Karlovarský</w:t>
            </w:r>
            <w:proofErr w:type="spellEnd"/>
            <w:r w:rsidRPr="0054620D">
              <w:rPr>
                <w:rFonts w:ascii="Arial" w:hAnsi="Arial" w:cs="Arial"/>
                <w:sz w:val="24"/>
              </w:rPr>
              <w:t xml:space="preserve"> region</w:t>
            </w:r>
          </w:p>
        </w:tc>
      </w:tr>
      <w:tr w:rsidR="007F2832" w14:paraId="2092B890" w14:textId="77777777" w:rsidTr="00A70278">
        <w:tc>
          <w:tcPr>
            <w:tcW w:w="4508" w:type="dxa"/>
          </w:tcPr>
          <w:p w14:paraId="3383C068" w14:textId="77777777" w:rsidR="007F2832" w:rsidRPr="00A70278" w:rsidRDefault="004250A9" w:rsidP="007F2832">
            <w:pPr>
              <w:jc w:val="both"/>
              <w:rPr>
                <w:rFonts w:ascii="Arial" w:hAnsi="Arial" w:cs="Arial"/>
                <w:i/>
                <w:sz w:val="24"/>
              </w:rPr>
            </w:pPr>
            <w:r w:rsidRPr="004250A9">
              <w:rPr>
                <w:rFonts w:ascii="Arial" w:hAnsi="Arial" w:cs="Arial"/>
                <w:i/>
                <w:sz w:val="24"/>
              </w:rPr>
              <w:t>Estimated cost</w:t>
            </w:r>
          </w:p>
        </w:tc>
        <w:tc>
          <w:tcPr>
            <w:tcW w:w="4508" w:type="dxa"/>
          </w:tcPr>
          <w:p w14:paraId="607917CB" w14:textId="328567BD" w:rsidR="007F2832" w:rsidRPr="00093B19" w:rsidRDefault="0054620D" w:rsidP="00EC5463">
            <w:pPr>
              <w:jc w:val="both"/>
              <w:rPr>
                <w:rFonts w:ascii="Arial" w:hAnsi="Arial" w:cs="Arial"/>
                <w:sz w:val="24"/>
              </w:rPr>
            </w:pPr>
            <w:r>
              <w:rPr>
                <w:rFonts w:ascii="Arial" w:hAnsi="Arial" w:cs="Arial"/>
                <w:sz w:val="24"/>
              </w:rPr>
              <w:t xml:space="preserve">450,000,000 </w:t>
            </w:r>
            <w:proofErr w:type="spellStart"/>
            <w:r w:rsidR="00093B19" w:rsidRPr="00093B19">
              <w:rPr>
                <w:rFonts w:ascii="Arial" w:hAnsi="Arial" w:cs="Arial"/>
                <w:sz w:val="24"/>
              </w:rPr>
              <w:t>Kč</w:t>
            </w:r>
            <w:proofErr w:type="spellEnd"/>
            <w:r w:rsidR="00093B19" w:rsidRPr="00093B19">
              <w:rPr>
                <w:rFonts w:ascii="Arial" w:hAnsi="Arial" w:cs="Arial"/>
                <w:sz w:val="24"/>
              </w:rPr>
              <w:t xml:space="preserve"> (</w:t>
            </w:r>
            <w:r w:rsidRPr="0054620D">
              <w:rPr>
                <w:rFonts w:ascii="Arial" w:hAnsi="Arial" w:cs="Arial"/>
                <w:sz w:val="24"/>
              </w:rPr>
              <w:t>17,701,425</w:t>
            </w:r>
            <w:r w:rsidRPr="00093B19">
              <w:rPr>
                <w:rFonts w:ascii="Arial" w:hAnsi="Arial" w:cs="Arial"/>
                <w:sz w:val="24"/>
              </w:rPr>
              <w:t xml:space="preserve"> </w:t>
            </w:r>
            <w:r w:rsidR="00093B19" w:rsidRPr="00093B19">
              <w:rPr>
                <w:rFonts w:ascii="Arial" w:hAnsi="Arial" w:cs="Arial"/>
                <w:sz w:val="24"/>
              </w:rPr>
              <w:t>EUR)</w:t>
            </w:r>
          </w:p>
        </w:tc>
      </w:tr>
      <w:tr w:rsidR="003856A9" w14:paraId="031B56C1" w14:textId="77777777" w:rsidTr="004250A9">
        <w:tc>
          <w:tcPr>
            <w:tcW w:w="4508" w:type="dxa"/>
          </w:tcPr>
          <w:p w14:paraId="75DD6ECB" w14:textId="38A3A42C" w:rsidR="003856A9" w:rsidRPr="00FB0EFD" w:rsidRDefault="003856A9" w:rsidP="003856A9">
            <w:pPr>
              <w:jc w:val="both"/>
              <w:rPr>
                <w:color w:val="000000"/>
              </w:rPr>
            </w:pPr>
            <w:r w:rsidRPr="006E47C3">
              <w:rPr>
                <w:rFonts w:ascii="Arial" w:hAnsi="Arial" w:cs="Arial"/>
                <w:i/>
                <w:sz w:val="24"/>
              </w:rPr>
              <w:t xml:space="preserve">Estimated timeline for implementation </w:t>
            </w:r>
          </w:p>
        </w:tc>
        <w:tc>
          <w:tcPr>
            <w:tcW w:w="4508" w:type="dxa"/>
          </w:tcPr>
          <w:p w14:paraId="4AF06339" w14:textId="78548058" w:rsidR="003856A9" w:rsidRPr="00093B19" w:rsidRDefault="0054620D" w:rsidP="007F2832">
            <w:pPr>
              <w:jc w:val="both"/>
              <w:rPr>
                <w:rFonts w:ascii="Arial" w:hAnsi="Arial" w:cs="Arial"/>
                <w:sz w:val="24"/>
              </w:rPr>
            </w:pPr>
            <w:r>
              <w:rPr>
                <w:rFonts w:ascii="Arial" w:hAnsi="Arial" w:cs="Arial"/>
                <w:sz w:val="24"/>
              </w:rPr>
              <w:t>2023-2028</w:t>
            </w:r>
          </w:p>
        </w:tc>
      </w:tr>
      <w:tr w:rsidR="004250A9" w14:paraId="0985CF6B" w14:textId="77777777" w:rsidTr="00A70278">
        <w:tc>
          <w:tcPr>
            <w:tcW w:w="4508" w:type="dxa"/>
          </w:tcPr>
          <w:p w14:paraId="37BF42C8" w14:textId="77777777" w:rsidR="004250A9" w:rsidRPr="004250A9" w:rsidRDefault="004250A9" w:rsidP="007F2832">
            <w:pPr>
              <w:jc w:val="both"/>
              <w:rPr>
                <w:rFonts w:ascii="Arial" w:hAnsi="Arial" w:cs="Arial"/>
                <w:i/>
                <w:sz w:val="24"/>
              </w:rPr>
            </w:pPr>
            <w:r w:rsidRPr="004250A9">
              <w:rPr>
                <w:rFonts w:ascii="Arial" w:hAnsi="Arial" w:cs="Arial"/>
                <w:i/>
                <w:sz w:val="24"/>
              </w:rPr>
              <w:t>Location</w:t>
            </w:r>
          </w:p>
        </w:tc>
        <w:tc>
          <w:tcPr>
            <w:tcW w:w="4508" w:type="dxa"/>
          </w:tcPr>
          <w:p w14:paraId="3F71BDA9" w14:textId="6BA4CB43" w:rsidR="004250A9" w:rsidRPr="00093B19" w:rsidRDefault="0054620D" w:rsidP="007F2832">
            <w:pPr>
              <w:jc w:val="both"/>
              <w:rPr>
                <w:rFonts w:ascii="Arial" w:hAnsi="Arial" w:cs="Arial"/>
                <w:sz w:val="24"/>
              </w:rPr>
            </w:pPr>
            <w:proofErr w:type="spellStart"/>
            <w:r>
              <w:rPr>
                <w:rFonts w:ascii="Arial" w:hAnsi="Arial" w:cs="Arial"/>
                <w:sz w:val="24"/>
              </w:rPr>
              <w:t>Sokolov</w:t>
            </w:r>
            <w:proofErr w:type="spellEnd"/>
          </w:p>
        </w:tc>
      </w:tr>
      <w:tr w:rsidR="004250A9" w14:paraId="4C7CC878" w14:textId="77777777" w:rsidTr="00A70278">
        <w:tc>
          <w:tcPr>
            <w:tcW w:w="4508" w:type="dxa"/>
          </w:tcPr>
          <w:p w14:paraId="6D72F93C" w14:textId="77777777" w:rsidR="004250A9" w:rsidRPr="004250A9" w:rsidRDefault="004250A9" w:rsidP="007F2832">
            <w:pPr>
              <w:jc w:val="both"/>
              <w:rPr>
                <w:rFonts w:ascii="Arial" w:hAnsi="Arial" w:cs="Arial"/>
                <w:i/>
                <w:sz w:val="24"/>
              </w:rPr>
            </w:pPr>
            <w:r w:rsidRPr="004250A9">
              <w:rPr>
                <w:rFonts w:ascii="Arial" w:hAnsi="Arial" w:cs="Arial"/>
                <w:i/>
                <w:sz w:val="24"/>
              </w:rPr>
              <w:t>Region</w:t>
            </w:r>
          </w:p>
        </w:tc>
        <w:tc>
          <w:tcPr>
            <w:tcW w:w="4508" w:type="dxa"/>
          </w:tcPr>
          <w:p w14:paraId="6ED069EE" w14:textId="46DB1FBB" w:rsidR="004250A9" w:rsidRPr="00093B19" w:rsidRDefault="0054620D" w:rsidP="007F2832">
            <w:pPr>
              <w:jc w:val="both"/>
              <w:rPr>
                <w:rFonts w:ascii="Arial" w:hAnsi="Arial" w:cs="Arial"/>
                <w:sz w:val="24"/>
              </w:rPr>
            </w:pPr>
            <w:proofErr w:type="spellStart"/>
            <w:r w:rsidRPr="0054620D">
              <w:rPr>
                <w:rFonts w:ascii="Arial" w:hAnsi="Arial" w:cs="Arial"/>
                <w:sz w:val="24"/>
              </w:rPr>
              <w:t>Karlovarský</w:t>
            </w:r>
            <w:proofErr w:type="spellEnd"/>
            <w:r w:rsidRPr="0054620D">
              <w:rPr>
                <w:rFonts w:ascii="Arial" w:hAnsi="Arial" w:cs="Arial"/>
                <w:sz w:val="24"/>
              </w:rPr>
              <w:t xml:space="preserve"> region</w:t>
            </w:r>
          </w:p>
        </w:tc>
      </w:tr>
    </w:tbl>
    <w:p w14:paraId="6A238AEB" w14:textId="77777777" w:rsidR="007F2832" w:rsidRDefault="007F2832" w:rsidP="007F2832">
      <w:pPr>
        <w:jc w:val="both"/>
        <w:rPr>
          <w:rFonts w:ascii="Arial" w:hAnsi="Arial" w:cs="Arial"/>
          <w:b/>
          <w:sz w:val="24"/>
          <w:u w:val="single"/>
        </w:rPr>
      </w:pPr>
    </w:p>
    <w:p w14:paraId="7015DFF9" w14:textId="1B7C7490" w:rsidR="00970DD6" w:rsidRDefault="00970DD6" w:rsidP="00970DD6">
      <w:pPr>
        <w:jc w:val="both"/>
        <w:rPr>
          <w:rFonts w:ascii="Arial" w:hAnsi="Arial" w:cs="Arial"/>
          <w:b/>
          <w:sz w:val="24"/>
          <w:u w:val="single"/>
        </w:rPr>
      </w:pPr>
      <w:r>
        <w:rPr>
          <w:rFonts w:ascii="Arial" w:hAnsi="Arial" w:cs="Arial"/>
          <w:b/>
          <w:sz w:val="24"/>
          <w:u w:val="single"/>
        </w:rPr>
        <w:t>Project Description</w:t>
      </w:r>
    </w:p>
    <w:tbl>
      <w:tblPr>
        <w:tblStyle w:val="TableGrid"/>
        <w:tblW w:w="9445" w:type="dxa"/>
        <w:tblLook w:val="04A0" w:firstRow="1" w:lastRow="0" w:firstColumn="1" w:lastColumn="0" w:noHBand="0" w:noVBand="1"/>
      </w:tblPr>
      <w:tblGrid>
        <w:gridCol w:w="9445"/>
      </w:tblGrid>
      <w:tr w:rsidR="00970DD6" w14:paraId="538CF2BE" w14:textId="77777777" w:rsidTr="00821E87">
        <w:trPr>
          <w:trHeight w:val="754"/>
        </w:trPr>
        <w:tc>
          <w:tcPr>
            <w:tcW w:w="9445" w:type="dxa"/>
          </w:tcPr>
          <w:p w14:paraId="42DDCCC5" w14:textId="77777777" w:rsidR="0054620D" w:rsidRDefault="00093B19" w:rsidP="0054620D">
            <w:pPr>
              <w:spacing w:before="60" w:after="60"/>
              <w:jc w:val="both"/>
              <w:rPr>
                <w:rFonts w:ascii="Arial" w:hAnsi="Arial" w:cs="Arial"/>
                <w:color w:val="202124"/>
                <w:shd w:val="clear" w:color="auto" w:fill="FFFFFF"/>
              </w:rPr>
            </w:pPr>
            <w:r w:rsidRPr="00BC3000">
              <w:rPr>
                <w:rFonts w:ascii="Arial" w:hAnsi="Arial" w:cs="Arial"/>
                <w:color w:val="202124"/>
                <w:shd w:val="clear" w:color="auto" w:fill="FFFFFF"/>
              </w:rPr>
              <w:t xml:space="preserve">The </w:t>
            </w:r>
            <w:r w:rsidR="00EC5463">
              <w:rPr>
                <w:rFonts w:ascii="Arial" w:hAnsi="Arial" w:cs="Arial"/>
                <w:color w:val="202124"/>
                <w:shd w:val="clear" w:color="auto" w:fill="FFFFFF"/>
              </w:rPr>
              <w:t xml:space="preserve">project </w:t>
            </w:r>
            <w:r w:rsidR="0054620D">
              <w:rPr>
                <w:rFonts w:ascii="Arial" w:hAnsi="Arial" w:cs="Arial"/>
                <w:color w:val="202124"/>
                <w:shd w:val="clear" w:color="auto" w:fill="FFFFFF"/>
              </w:rPr>
              <w:t xml:space="preserve">comprises a series of activities to prepare for the construction of a business park in the City of </w:t>
            </w:r>
            <w:proofErr w:type="spellStart"/>
            <w:r w:rsidR="0054620D">
              <w:rPr>
                <w:rFonts w:ascii="Arial" w:hAnsi="Arial" w:cs="Arial"/>
                <w:color w:val="202124"/>
                <w:shd w:val="clear" w:color="auto" w:fill="FFFFFF"/>
              </w:rPr>
              <w:t>Sokolov</w:t>
            </w:r>
            <w:proofErr w:type="spellEnd"/>
            <w:r w:rsidR="0054620D">
              <w:rPr>
                <w:rFonts w:ascii="Arial" w:hAnsi="Arial" w:cs="Arial"/>
                <w:color w:val="202124"/>
                <w:shd w:val="clear" w:color="auto" w:fill="FFFFFF"/>
              </w:rPr>
              <w:t xml:space="preserve">. These activities include studies, surveys, issuing permits, and some preparatory construction works. The site is located in the centre of </w:t>
            </w:r>
            <w:proofErr w:type="spellStart"/>
            <w:r w:rsidR="0054620D">
              <w:rPr>
                <w:rFonts w:ascii="Arial" w:hAnsi="Arial" w:cs="Arial"/>
                <w:color w:val="202124"/>
                <w:shd w:val="clear" w:color="auto" w:fill="FFFFFF"/>
              </w:rPr>
              <w:t>Sokolov</w:t>
            </w:r>
            <w:proofErr w:type="spellEnd"/>
            <w:r w:rsidR="0054620D">
              <w:rPr>
                <w:rFonts w:ascii="Arial" w:hAnsi="Arial" w:cs="Arial"/>
                <w:color w:val="202124"/>
                <w:shd w:val="clear" w:color="auto" w:fill="FFFFFF"/>
              </w:rPr>
              <w:t>.</w:t>
            </w:r>
          </w:p>
          <w:p w14:paraId="7D73CB2A" w14:textId="5E4603CA" w:rsidR="0054620D" w:rsidRDefault="0054620D" w:rsidP="0054620D">
            <w:pPr>
              <w:spacing w:before="60" w:after="60"/>
              <w:jc w:val="both"/>
              <w:rPr>
                <w:rFonts w:ascii="Arial" w:hAnsi="Arial" w:cs="Arial"/>
                <w:color w:val="202124"/>
                <w:shd w:val="clear" w:color="auto" w:fill="FFFFFF"/>
              </w:rPr>
            </w:pPr>
          </w:p>
          <w:p w14:paraId="65CF0F5B" w14:textId="3E6B0499" w:rsidR="0054620D" w:rsidRPr="0054620D" w:rsidRDefault="000D2ABA" w:rsidP="000D2ABA">
            <w:pPr>
              <w:spacing w:before="60" w:after="60"/>
              <w:jc w:val="both"/>
              <w:rPr>
                <w:rFonts w:ascii="Arial" w:hAnsi="Arial" w:cs="Arial"/>
                <w:color w:val="202124"/>
                <w:shd w:val="clear" w:color="auto" w:fill="FFFFFF"/>
              </w:rPr>
            </w:pPr>
            <w:r>
              <w:rPr>
                <w:rFonts w:ascii="Arial" w:hAnsi="Arial" w:cs="Arial"/>
                <w:color w:val="202124"/>
                <w:shd w:val="clear" w:color="auto" w:fill="FFFFFF"/>
              </w:rPr>
              <w:t xml:space="preserve">The </w:t>
            </w:r>
            <w:r w:rsidR="0054620D">
              <w:rPr>
                <w:rFonts w:ascii="Arial" w:hAnsi="Arial" w:cs="Arial"/>
                <w:color w:val="202124"/>
                <w:shd w:val="clear" w:color="auto" w:fill="FFFFFF"/>
              </w:rPr>
              <w:t xml:space="preserve">promoter predicts that the </w:t>
            </w:r>
            <w:r>
              <w:rPr>
                <w:rFonts w:ascii="Arial" w:hAnsi="Arial" w:cs="Arial"/>
                <w:color w:val="202124"/>
                <w:shd w:val="clear" w:color="auto" w:fill="FFFFFF"/>
              </w:rPr>
              <w:t xml:space="preserve">next phase of the investment (construction of the park) </w:t>
            </w:r>
            <w:r w:rsidR="0054620D">
              <w:rPr>
                <w:rFonts w:ascii="Arial" w:hAnsi="Arial" w:cs="Arial"/>
                <w:color w:val="202124"/>
                <w:shd w:val="clear" w:color="auto" w:fill="FFFFFF"/>
              </w:rPr>
              <w:t>will create 2,500 new jobs</w:t>
            </w:r>
            <w:r>
              <w:rPr>
                <w:rFonts w:ascii="Arial" w:hAnsi="Arial" w:cs="Arial"/>
                <w:color w:val="202124"/>
                <w:shd w:val="clear" w:color="auto" w:fill="FFFFFF"/>
              </w:rPr>
              <w:t>, and the park will accommodate 50 companies</w:t>
            </w:r>
            <w:r w:rsidR="0054620D">
              <w:rPr>
                <w:rFonts w:ascii="Arial" w:hAnsi="Arial" w:cs="Arial"/>
                <w:color w:val="202124"/>
                <w:shd w:val="clear" w:color="auto" w:fill="FFFFFF"/>
              </w:rPr>
              <w:t>.</w:t>
            </w:r>
          </w:p>
        </w:tc>
      </w:tr>
    </w:tbl>
    <w:p w14:paraId="709545B7" w14:textId="77777777" w:rsidR="007F2832" w:rsidRDefault="007F2832">
      <w:pPr>
        <w:jc w:val="both"/>
        <w:rPr>
          <w:rFonts w:ascii="Arial" w:hAnsi="Arial" w:cs="Arial"/>
          <w:b/>
          <w:sz w:val="24"/>
          <w:u w:val="single"/>
        </w:rPr>
      </w:pPr>
    </w:p>
    <w:p w14:paraId="29A07059" w14:textId="1C70877C" w:rsidR="007F0941" w:rsidRDefault="00DD5B0C">
      <w:pPr>
        <w:jc w:val="both"/>
        <w:rPr>
          <w:rFonts w:ascii="Arial" w:hAnsi="Arial" w:cs="Arial"/>
          <w:b/>
          <w:sz w:val="24"/>
          <w:u w:val="single"/>
        </w:rPr>
      </w:pPr>
      <w:r>
        <w:rPr>
          <w:rFonts w:ascii="Arial" w:hAnsi="Arial" w:cs="Arial"/>
          <w:b/>
          <w:sz w:val="24"/>
          <w:u w:val="single"/>
        </w:rPr>
        <w:t>Project Eligibility</w:t>
      </w:r>
    </w:p>
    <w:tbl>
      <w:tblPr>
        <w:tblStyle w:val="TableGrid"/>
        <w:tblW w:w="9445" w:type="dxa"/>
        <w:tblLook w:val="04A0" w:firstRow="1" w:lastRow="0" w:firstColumn="1" w:lastColumn="0" w:noHBand="0" w:noVBand="1"/>
      </w:tblPr>
      <w:tblGrid>
        <w:gridCol w:w="9445"/>
      </w:tblGrid>
      <w:tr w:rsidR="00C25026" w14:paraId="2CC128AD" w14:textId="77777777" w:rsidTr="0059418C">
        <w:tc>
          <w:tcPr>
            <w:tcW w:w="9445" w:type="dxa"/>
            <w:shd w:val="clear" w:color="auto" w:fill="D9D9D9" w:themeFill="background1" w:themeFillShade="D9"/>
          </w:tcPr>
          <w:p w14:paraId="7EAC4E41" w14:textId="5FD07B52" w:rsidR="00C25026" w:rsidRDefault="00C25026" w:rsidP="0059418C">
            <w:pPr>
              <w:spacing w:before="60" w:after="60"/>
              <w:jc w:val="both"/>
              <w:rPr>
                <w:rFonts w:ascii="Arial" w:hAnsi="Arial" w:cs="Arial"/>
                <w:b/>
                <w:sz w:val="24"/>
              </w:rPr>
            </w:pPr>
            <w:r>
              <w:rPr>
                <w:rFonts w:ascii="Arial" w:hAnsi="Arial" w:cs="Arial"/>
                <w:b/>
                <w:sz w:val="24"/>
              </w:rPr>
              <w:t xml:space="preserve">Alignment with Article 2: the Specific Objective of the JTF </w:t>
            </w:r>
          </w:p>
          <w:p w14:paraId="3343026F" w14:textId="3B58369D" w:rsidR="00C25026" w:rsidRPr="0059418C" w:rsidRDefault="00B74ECC" w:rsidP="00B74ECC">
            <w:pPr>
              <w:spacing w:before="60" w:after="60"/>
              <w:jc w:val="both"/>
              <w:rPr>
                <w:rFonts w:ascii="Arial" w:hAnsi="Arial" w:cs="Arial"/>
                <w:b/>
                <w:i/>
                <w:sz w:val="24"/>
              </w:rPr>
            </w:pPr>
            <w:r>
              <w:rPr>
                <w:rFonts w:ascii="Arial" w:hAnsi="Arial" w:cs="Arial"/>
                <w:b/>
                <w:i/>
                <w:sz w:val="24"/>
              </w:rPr>
              <w:t>"</w:t>
            </w:r>
            <w:proofErr w:type="gramStart"/>
            <w:r w:rsidR="00C25026" w:rsidRPr="0059418C">
              <w:rPr>
                <w:i/>
              </w:rPr>
              <w:t>the</w:t>
            </w:r>
            <w:proofErr w:type="gramEnd"/>
            <w:r w:rsidR="00C25026" w:rsidRPr="0059418C">
              <w:rPr>
                <w:i/>
              </w:rPr>
              <w:t xml:space="preserve"> JTF shall contribute to the single specific objective </w:t>
            </w:r>
            <w:r>
              <w:rPr>
                <w:i/>
              </w:rPr>
              <w:t>'</w:t>
            </w:r>
            <w:r w:rsidR="00C25026" w:rsidRPr="0059418C">
              <w:rPr>
                <w:i/>
              </w:rPr>
              <w:t>enabling regions and people to address the social, economic and environmental impacts of the transition towards a climate neutral economy</w:t>
            </w:r>
            <w:r>
              <w:rPr>
                <w:i/>
              </w:rPr>
              <w:t>'</w:t>
            </w:r>
            <w:r w:rsidR="00C25026" w:rsidRPr="0059418C">
              <w:rPr>
                <w:i/>
              </w:rPr>
              <w:t>.</w:t>
            </w:r>
            <w:r>
              <w:rPr>
                <w:i/>
              </w:rPr>
              <w:t>"</w:t>
            </w:r>
          </w:p>
        </w:tc>
      </w:tr>
      <w:tr w:rsidR="00C25026" w14:paraId="5058A188" w14:textId="77777777" w:rsidTr="00475362">
        <w:trPr>
          <w:trHeight w:val="983"/>
        </w:trPr>
        <w:tc>
          <w:tcPr>
            <w:tcW w:w="9445" w:type="dxa"/>
          </w:tcPr>
          <w:p w14:paraId="09425236" w14:textId="49FCA189" w:rsidR="0008508E" w:rsidRPr="00EC5463" w:rsidRDefault="000D2ABA" w:rsidP="00C17318">
            <w:pPr>
              <w:spacing w:before="60" w:after="60"/>
              <w:jc w:val="both"/>
              <w:rPr>
                <w:rFonts w:ascii="Arial" w:hAnsi="Arial" w:cs="Arial"/>
                <w:color w:val="202124"/>
                <w:shd w:val="clear" w:color="auto" w:fill="FFFFFF"/>
              </w:rPr>
            </w:pPr>
            <w:r>
              <w:rPr>
                <w:rFonts w:ascii="Arial" w:hAnsi="Arial" w:cs="Arial"/>
                <w:color w:val="202124"/>
                <w:shd w:val="clear" w:color="auto" w:fill="FFFFFF"/>
              </w:rPr>
              <w:t>The project itself (the preparation of the site) will not contribute towards the objectives of the JTF (other than the remediation of the site).</w:t>
            </w:r>
            <w:r w:rsidR="00AC34C7">
              <w:rPr>
                <w:rFonts w:ascii="Arial" w:hAnsi="Arial" w:cs="Arial"/>
                <w:color w:val="202124"/>
                <w:shd w:val="clear" w:color="auto" w:fill="FFFFFF"/>
              </w:rPr>
              <w:t xml:space="preserve"> Provided the second phase of the project - </w:t>
            </w:r>
            <w:r>
              <w:rPr>
                <w:rFonts w:ascii="Arial" w:hAnsi="Arial" w:cs="Arial"/>
                <w:color w:val="202124"/>
                <w:shd w:val="clear" w:color="auto" w:fill="FFFFFF"/>
              </w:rPr>
              <w:t>the construction and operation of the park –</w:t>
            </w:r>
            <w:r w:rsidR="00AC34C7">
              <w:rPr>
                <w:rFonts w:ascii="Arial" w:hAnsi="Arial" w:cs="Arial"/>
                <w:color w:val="202124"/>
                <w:shd w:val="clear" w:color="auto" w:fill="FFFFFF"/>
              </w:rPr>
              <w:t xml:space="preserve"> goes ahead, the project</w:t>
            </w:r>
            <w:r w:rsidR="00C17318">
              <w:rPr>
                <w:rFonts w:ascii="Arial" w:hAnsi="Arial" w:cs="Arial"/>
                <w:color w:val="202124"/>
                <w:shd w:val="clear" w:color="auto" w:fill="FFFFFF"/>
              </w:rPr>
              <w:t>'</w:t>
            </w:r>
            <w:r w:rsidR="00AC34C7">
              <w:rPr>
                <w:rFonts w:ascii="Arial" w:hAnsi="Arial" w:cs="Arial"/>
                <w:color w:val="202124"/>
                <w:shd w:val="clear" w:color="auto" w:fill="FFFFFF"/>
              </w:rPr>
              <w:t xml:space="preserve">s objectives appear </w:t>
            </w:r>
            <w:r w:rsidR="00EC5463">
              <w:rPr>
                <w:rFonts w:ascii="Arial" w:hAnsi="Arial" w:cs="Arial"/>
                <w:color w:val="202124"/>
                <w:shd w:val="clear" w:color="auto" w:fill="FFFFFF"/>
              </w:rPr>
              <w:t>compatible with Article 2 of the JTF.  The extent to which the project will achieve its goals, howev</w:t>
            </w:r>
            <w:r>
              <w:rPr>
                <w:rFonts w:ascii="Arial" w:hAnsi="Arial" w:cs="Arial"/>
                <w:color w:val="202124"/>
                <w:shd w:val="clear" w:color="auto" w:fill="FFFFFF"/>
              </w:rPr>
              <w:t>er, depends on numerous factors such as</w:t>
            </w:r>
            <w:r w:rsidR="00EC5463">
              <w:rPr>
                <w:rFonts w:ascii="Arial" w:hAnsi="Arial" w:cs="Arial"/>
                <w:color w:val="202124"/>
                <w:shd w:val="clear" w:color="auto" w:fill="FFFFFF"/>
              </w:rPr>
              <w:t xml:space="preserve"> </w:t>
            </w:r>
            <w:r>
              <w:rPr>
                <w:rFonts w:ascii="Arial" w:hAnsi="Arial" w:cs="Arial"/>
                <w:color w:val="202124"/>
                <w:shd w:val="clear" w:color="auto" w:fill="FFFFFF"/>
              </w:rPr>
              <w:t>the real estate market, the local market, demand</w:t>
            </w:r>
            <w:r w:rsidR="00EC5463">
              <w:rPr>
                <w:rFonts w:ascii="Arial" w:hAnsi="Arial" w:cs="Arial"/>
                <w:color w:val="202124"/>
                <w:shd w:val="clear" w:color="auto" w:fill="FFFFFF"/>
              </w:rPr>
              <w:t xml:space="preserve">, and the presence of other barriers/issues external to the project.  </w:t>
            </w:r>
          </w:p>
        </w:tc>
      </w:tr>
    </w:tbl>
    <w:p w14:paraId="02E3BFE9" w14:textId="77777777" w:rsidR="00C25026" w:rsidRDefault="00C25026">
      <w:pPr>
        <w:jc w:val="both"/>
        <w:rPr>
          <w:rFonts w:ascii="Arial" w:hAnsi="Arial" w:cs="Arial"/>
          <w:b/>
          <w:sz w:val="24"/>
          <w:u w:val="single"/>
        </w:rPr>
      </w:pPr>
    </w:p>
    <w:tbl>
      <w:tblPr>
        <w:tblStyle w:val="TableGrid"/>
        <w:tblW w:w="9445" w:type="dxa"/>
        <w:tblLook w:val="04A0" w:firstRow="1" w:lastRow="0" w:firstColumn="1" w:lastColumn="0" w:noHBand="0" w:noVBand="1"/>
      </w:tblPr>
      <w:tblGrid>
        <w:gridCol w:w="9445"/>
      </w:tblGrid>
      <w:tr w:rsidR="00F8325E" w14:paraId="053FAD9D" w14:textId="77777777" w:rsidTr="00F8325E">
        <w:trPr>
          <w:trHeight w:val="336"/>
        </w:trPr>
        <w:tc>
          <w:tcPr>
            <w:tcW w:w="9445" w:type="dxa"/>
            <w:vMerge w:val="restart"/>
            <w:shd w:val="clear" w:color="auto" w:fill="D9D9D9" w:themeFill="background1" w:themeFillShade="D9"/>
          </w:tcPr>
          <w:p w14:paraId="1A346DF0" w14:textId="26D25AB8" w:rsidR="00F8325E" w:rsidRDefault="00C25026">
            <w:pPr>
              <w:spacing w:before="60" w:after="60"/>
              <w:jc w:val="both"/>
              <w:rPr>
                <w:rFonts w:ascii="Arial" w:hAnsi="Arial" w:cs="Arial"/>
                <w:b/>
                <w:sz w:val="24"/>
              </w:rPr>
            </w:pPr>
            <w:r>
              <w:rPr>
                <w:rFonts w:ascii="Arial" w:hAnsi="Arial" w:cs="Arial"/>
                <w:b/>
                <w:sz w:val="24"/>
              </w:rPr>
              <w:t xml:space="preserve">Alignment with Article </w:t>
            </w:r>
            <w:r w:rsidR="00FF54B4">
              <w:rPr>
                <w:rFonts w:ascii="Arial" w:hAnsi="Arial" w:cs="Arial"/>
                <w:b/>
                <w:sz w:val="24"/>
              </w:rPr>
              <w:t>8</w:t>
            </w:r>
            <w:r>
              <w:rPr>
                <w:rFonts w:ascii="Arial" w:hAnsi="Arial" w:cs="Arial"/>
                <w:b/>
                <w:sz w:val="24"/>
              </w:rPr>
              <w:t xml:space="preserve">: Scope of support </w:t>
            </w:r>
          </w:p>
          <w:p w14:paraId="0B02CB58" w14:textId="1F8CFF55" w:rsidR="00C25026" w:rsidRPr="00FB0EFD" w:rsidRDefault="00B74ECC" w:rsidP="00B74ECC">
            <w:pPr>
              <w:spacing w:before="60" w:after="60"/>
              <w:jc w:val="both"/>
              <w:rPr>
                <w:rFonts w:ascii="Arial" w:hAnsi="Arial" w:cs="Arial"/>
                <w:b/>
                <w:i/>
                <w:sz w:val="24"/>
              </w:rPr>
            </w:pPr>
            <w:r>
              <w:rPr>
                <w:rFonts w:ascii="Arial" w:hAnsi="Arial" w:cs="Arial"/>
                <w:b/>
                <w:i/>
                <w:sz w:val="24"/>
              </w:rPr>
              <w:t>"</w:t>
            </w:r>
            <w:r w:rsidR="00C25026" w:rsidRPr="00FB0EFD">
              <w:rPr>
                <w:i/>
              </w:rPr>
              <w:t>The JTF shall only support activities that are directly linked to its specific objective as set out in Article 2 and which contribute to the implementation of the territorial just transition plans established in accordance with Article 7. In accordance with paragraph 1, the JTF shall exclusively support the following activities:</w:t>
            </w:r>
            <w:r>
              <w:rPr>
                <w:rFonts w:ascii="Arial" w:hAnsi="Arial" w:cs="Arial"/>
                <w:b/>
                <w:i/>
                <w:sz w:val="24"/>
              </w:rPr>
              <w:t>"</w:t>
            </w:r>
          </w:p>
        </w:tc>
      </w:tr>
      <w:tr w:rsidR="00F8325E" w14:paraId="0BC2E418" w14:textId="77777777" w:rsidTr="00F8325E">
        <w:trPr>
          <w:trHeight w:val="396"/>
        </w:trPr>
        <w:tc>
          <w:tcPr>
            <w:tcW w:w="9445" w:type="dxa"/>
            <w:vMerge/>
            <w:shd w:val="clear" w:color="auto" w:fill="D9D9D9" w:themeFill="background1" w:themeFillShade="D9"/>
          </w:tcPr>
          <w:p w14:paraId="76F40DD0" w14:textId="77777777" w:rsidR="00F8325E" w:rsidRDefault="00F8325E">
            <w:pPr>
              <w:spacing w:before="60" w:after="60"/>
              <w:jc w:val="both"/>
              <w:rPr>
                <w:rFonts w:ascii="Arial" w:hAnsi="Arial" w:cs="Arial"/>
                <w:b/>
                <w:sz w:val="24"/>
              </w:rPr>
            </w:pPr>
          </w:p>
        </w:tc>
      </w:tr>
      <w:tr w:rsidR="00F8325E" w14:paraId="4281E382" w14:textId="77777777" w:rsidTr="00F8325E">
        <w:tc>
          <w:tcPr>
            <w:tcW w:w="9445" w:type="dxa"/>
          </w:tcPr>
          <w:p w14:paraId="4EB52630" w14:textId="77777777" w:rsidR="00F8325E" w:rsidRDefault="00F8325E" w:rsidP="004034DF">
            <w:pPr>
              <w:spacing w:before="60" w:after="60"/>
              <w:jc w:val="both"/>
              <w:rPr>
                <w:rFonts w:ascii="Arial" w:hAnsi="Arial" w:cs="Arial"/>
                <w:sz w:val="24"/>
                <w:u w:val="single"/>
              </w:rPr>
            </w:pPr>
            <w:r>
              <w:rPr>
                <w:rFonts w:ascii="Arial" w:hAnsi="Arial" w:cs="Arial"/>
                <w:sz w:val="24"/>
                <w:u w:val="single"/>
              </w:rPr>
              <w:t xml:space="preserve">Project correspondence to </w:t>
            </w:r>
            <w:r w:rsidRPr="004034DF">
              <w:rPr>
                <w:rFonts w:ascii="Arial" w:hAnsi="Arial" w:cs="Arial"/>
                <w:sz w:val="24"/>
                <w:u w:val="single"/>
              </w:rPr>
              <w:t xml:space="preserve">the </w:t>
            </w:r>
            <w:r>
              <w:rPr>
                <w:rFonts w:ascii="Arial" w:hAnsi="Arial" w:cs="Arial"/>
                <w:sz w:val="24"/>
                <w:u w:val="single"/>
              </w:rPr>
              <w:t>eligible activities</w:t>
            </w:r>
            <w:r w:rsidRPr="004034DF">
              <w:rPr>
                <w:rFonts w:ascii="Arial" w:hAnsi="Arial" w:cs="Arial"/>
                <w:sz w:val="24"/>
                <w:u w:val="single"/>
              </w:rPr>
              <w:t>:</w:t>
            </w:r>
          </w:p>
          <w:p w14:paraId="1686E57E" w14:textId="77777777" w:rsidR="00F8325E" w:rsidRPr="00661CA4" w:rsidRDefault="00E41E54" w:rsidP="00661CA4">
            <w:pPr>
              <w:spacing w:before="60" w:after="60"/>
              <w:jc w:val="both"/>
              <w:rPr>
                <w:rFonts w:ascii="Arial" w:hAnsi="Arial" w:cs="Arial"/>
                <w:sz w:val="24"/>
              </w:rPr>
            </w:pPr>
            <w:sdt>
              <w:sdtPr>
                <w:rPr>
                  <w:rFonts w:ascii="MS Gothic" w:eastAsia="MS Gothic" w:hAnsi="MS Gothic" w:cs="Arial"/>
                  <w:b/>
                  <w:sz w:val="24"/>
                  <w:lang w:val="en-US"/>
                </w:rPr>
                <w:id w:val="-1988773001"/>
                <w14:checkbox>
                  <w14:checked w14:val="0"/>
                  <w14:checkedState w14:val="2612" w14:font="MS Gothic"/>
                  <w14:uncheckedState w14:val="2610" w14:font="MS Gothic"/>
                </w14:checkbox>
              </w:sdtPr>
              <w:sdtEndPr/>
              <w:sdtContent>
                <w:r w:rsidR="00F8325E">
                  <w:rPr>
                    <w:rFonts w:ascii="MS Gothic" w:eastAsia="MS Gothic" w:hAnsi="MS Gothic" w:cs="Arial" w:hint="eastAsia"/>
                    <w:b/>
                    <w:sz w:val="24"/>
                    <w:lang w:val="en-US"/>
                  </w:rPr>
                  <w:t>☐</w:t>
                </w:r>
              </w:sdtContent>
            </w:sdt>
            <w:r w:rsidR="00F8325E" w:rsidRPr="00661CA4">
              <w:rPr>
                <w:rFonts w:ascii="Arial" w:hAnsi="Arial" w:cs="Arial"/>
                <w:sz w:val="24"/>
              </w:rPr>
              <w:t xml:space="preserve"> productive investments in SMEs, including microenterprises and start-ups, leading to economic diversification, modernisation and reconversion;</w:t>
            </w:r>
          </w:p>
          <w:p w14:paraId="501ED562" w14:textId="1BE10C8A" w:rsidR="00F8325E" w:rsidRPr="00661CA4" w:rsidRDefault="00E41E54" w:rsidP="00661CA4">
            <w:pPr>
              <w:spacing w:before="60" w:after="60"/>
              <w:ind w:left="-14"/>
              <w:jc w:val="both"/>
              <w:rPr>
                <w:rFonts w:ascii="Arial" w:hAnsi="Arial" w:cs="Arial"/>
                <w:sz w:val="24"/>
              </w:rPr>
            </w:pPr>
            <w:sdt>
              <w:sdtPr>
                <w:rPr>
                  <w:rFonts w:ascii="MS Gothic" w:eastAsia="MS Gothic" w:hAnsi="MS Gothic" w:cs="Arial"/>
                  <w:b/>
                  <w:sz w:val="24"/>
                  <w:lang w:val="en-US"/>
                </w:rPr>
                <w:id w:val="-2124835636"/>
                <w14:checkbox>
                  <w14:checked w14:val="0"/>
                  <w14:checkedState w14:val="2612" w14:font="MS Gothic"/>
                  <w14:uncheckedState w14:val="2610" w14:font="MS Gothic"/>
                </w14:checkbox>
              </w:sdtPr>
              <w:sdtEndPr/>
              <w:sdtContent>
                <w:r w:rsidR="00C25026">
                  <w:rPr>
                    <w:rFonts w:ascii="MS Gothic" w:eastAsia="MS Gothic" w:hAnsi="MS Gothic" w:cs="Arial" w:hint="eastAsia"/>
                    <w:b/>
                    <w:sz w:val="24"/>
                    <w:lang w:val="en-US"/>
                  </w:rPr>
                  <w:t>☐</w:t>
                </w:r>
              </w:sdtContent>
            </w:sdt>
            <w:r w:rsidR="00F8325E" w:rsidRPr="00661CA4">
              <w:rPr>
                <w:rFonts w:ascii="Arial" w:hAnsi="Arial" w:cs="Arial"/>
                <w:sz w:val="24"/>
              </w:rPr>
              <w:t xml:space="preserve"> investments in the creation of new firms, including through business incubators and consulting services, leading to job creation;</w:t>
            </w:r>
          </w:p>
          <w:p w14:paraId="49ECFCCC" w14:textId="37BFE047" w:rsidR="00F8325E" w:rsidRPr="00661CA4" w:rsidRDefault="00E41E54" w:rsidP="00661CA4">
            <w:pPr>
              <w:spacing w:before="60" w:after="60"/>
              <w:ind w:left="-14"/>
              <w:jc w:val="both"/>
              <w:rPr>
                <w:rFonts w:ascii="Arial" w:hAnsi="Arial" w:cs="Arial"/>
                <w:sz w:val="24"/>
              </w:rPr>
            </w:pPr>
            <w:sdt>
              <w:sdtPr>
                <w:rPr>
                  <w:rFonts w:ascii="MS Gothic" w:eastAsia="MS Gothic" w:hAnsi="MS Gothic" w:cs="Arial"/>
                  <w:b/>
                  <w:sz w:val="24"/>
                  <w:lang w:val="en-US"/>
                </w:rPr>
                <w:id w:val="-1052928369"/>
                <w14:checkbox>
                  <w14:checked w14:val="0"/>
                  <w14:checkedState w14:val="2612" w14:font="MS Gothic"/>
                  <w14:uncheckedState w14:val="2610" w14:font="MS Gothic"/>
                </w14:checkbox>
              </w:sdtPr>
              <w:sdtEndPr/>
              <w:sdtContent>
                <w:r w:rsidR="00821E87">
                  <w:rPr>
                    <w:rFonts w:ascii="MS Gothic" w:eastAsia="MS Gothic" w:hAnsi="MS Gothic" w:cs="Arial" w:hint="eastAsia"/>
                    <w:b/>
                    <w:sz w:val="24"/>
                    <w:lang w:val="en-US"/>
                  </w:rPr>
                  <w:t>☐</w:t>
                </w:r>
              </w:sdtContent>
            </w:sdt>
            <w:r w:rsidR="00F8325E" w:rsidRPr="00661CA4">
              <w:rPr>
                <w:rFonts w:ascii="Arial" w:hAnsi="Arial" w:cs="Arial"/>
                <w:sz w:val="24"/>
              </w:rPr>
              <w:t xml:space="preserve"> investments in research and innovation activities, including by universities and public research institutions, and fostering the transfer of advanced technologies;</w:t>
            </w:r>
          </w:p>
          <w:p w14:paraId="23AB030A" w14:textId="77777777" w:rsidR="00F8325E" w:rsidRPr="00661CA4" w:rsidRDefault="00E41E54" w:rsidP="00661CA4">
            <w:pPr>
              <w:spacing w:before="60" w:after="60"/>
              <w:ind w:left="-14"/>
              <w:jc w:val="both"/>
              <w:rPr>
                <w:rFonts w:ascii="Arial" w:hAnsi="Arial" w:cs="Arial"/>
                <w:sz w:val="24"/>
              </w:rPr>
            </w:pPr>
            <w:sdt>
              <w:sdtPr>
                <w:rPr>
                  <w:rFonts w:ascii="MS Gothic" w:eastAsia="MS Gothic" w:hAnsi="MS Gothic" w:cs="Arial"/>
                  <w:b/>
                  <w:sz w:val="24"/>
                  <w:lang w:val="en-US"/>
                </w:rPr>
                <w:id w:val="1170597707"/>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investments in the deployment of technology as well as in systems and infrastructures for affordable clean energy, including energy storage technologies, and in greenhouse gas emission reduction;</w:t>
            </w:r>
          </w:p>
          <w:p w14:paraId="72A063CE" w14:textId="77777777" w:rsidR="00F8325E" w:rsidRPr="00661CA4" w:rsidRDefault="00E41E54" w:rsidP="00661CA4">
            <w:pPr>
              <w:spacing w:before="60" w:after="60"/>
              <w:ind w:left="-14"/>
              <w:jc w:val="both"/>
              <w:rPr>
                <w:rFonts w:ascii="Arial" w:hAnsi="Arial" w:cs="Arial"/>
                <w:sz w:val="24"/>
              </w:rPr>
            </w:pPr>
            <w:sdt>
              <w:sdtPr>
                <w:rPr>
                  <w:rFonts w:ascii="MS Gothic" w:eastAsia="MS Gothic" w:hAnsi="MS Gothic" w:cs="Arial"/>
                  <w:b/>
                  <w:sz w:val="24"/>
                  <w:lang w:val="en-US"/>
                </w:rPr>
                <w:id w:val="-1729674262"/>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investments in renewable energy in accordance with the Renewable Energy Directive (EU) 2018/2001 , including the sustainability criteria set out therein, and in energy efficiency, including for the purposes of reducing energy poverty;</w:t>
            </w:r>
          </w:p>
          <w:p w14:paraId="0E21D97D" w14:textId="77777777" w:rsidR="00F8325E" w:rsidRPr="00661CA4" w:rsidRDefault="00E41E54" w:rsidP="00661CA4">
            <w:pPr>
              <w:spacing w:before="60" w:after="60"/>
              <w:ind w:left="-14"/>
              <w:jc w:val="both"/>
              <w:rPr>
                <w:rFonts w:ascii="Arial" w:hAnsi="Arial" w:cs="Arial"/>
                <w:sz w:val="24"/>
              </w:rPr>
            </w:pPr>
            <w:sdt>
              <w:sdtPr>
                <w:rPr>
                  <w:rFonts w:ascii="MS Gothic" w:eastAsia="MS Gothic" w:hAnsi="MS Gothic" w:cs="Arial"/>
                  <w:b/>
                  <w:sz w:val="24"/>
                  <w:lang w:val="en-US"/>
                </w:rPr>
                <w:id w:val="-1293738235"/>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investments in smart and sustainable local mobility, including decarbonisation of the local transport sector and its infrastructure;</w:t>
            </w:r>
          </w:p>
          <w:p w14:paraId="43A1496E" w14:textId="77777777" w:rsidR="00F8325E" w:rsidRPr="00661CA4" w:rsidRDefault="00E41E54" w:rsidP="00661CA4">
            <w:pPr>
              <w:spacing w:before="60" w:after="60"/>
              <w:ind w:left="-14"/>
              <w:jc w:val="both"/>
              <w:rPr>
                <w:rFonts w:ascii="Arial" w:hAnsi="Arial" w:cs="Arial"/>
                <w:sz w:val="24"/>
              </w:rPr>
            </w:pPr>
            <w:sdt>
              <w:sdtPr>
                <w:rPr>
                  <w:rFonts w:ascii="MS Gothic" w:eastAsia="MS Gothic" w:hAnsi="MS Gothic" w:cs="Arial"/>
                  <w:b/>
                  <w:sz w:val="24"/>
                  <w:lang w:val="en-US"/>
                </w:rPr>
                <w:id w:val="1454826516"/>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investments in rehabilitation and upgrade of district heating networks with a view to improving energy efficiency of district heating systems and investments in heat production provided that they are supplied exclusively by renewable energy sources;</w:t>
            </w:r>
          </w:p>
          <w:p w14:paraId="1D8AE392" w14:textId="14E90223" w:rsidR="00F8325E" w:rsidRPr="00661CA4" w:rsidRDefault="00E41E54" w:rsidP="00661CA4">
            <w:pPr>
              <w:spacing w:before="60" w:after="60"/>
              <w:ind w:left="-14"/>
              <w:jc w:val="both"/>
              <w:rPr>
                <w:rFonts w:ascii="Arial" w:hAnsi="Arial" w:cs="Arial"/>
                <w:sz w:val="24"/>
              </w:rPr>
            </w:pPr>
            <w:sdt>
              <w:sdtPr>
                <w:rPr>
                  <w:rFonts w:ascii="MS Gothic" w:eastAsia="MS Gothic" w:hAnsi="MS Gothic" w:cs="Arial"/>
                  <w:b/>
                  <w:sz w:val="24"/>
                  <w:lang w:val="en-US"/>
                </w:rPr>
                <w:id w:val="1074936774"/>
                <w14:checkbox>
                  <w14:checked w14:val="0"/>
                  <w14:checkedState w14:val="2612" w14:font="MS Gothic"/>
                  <w14:uncheckedState w14:val="2610" w14:font="MS Gothic"/>
                </w14:checkbox>
              </w:sdtPr>
              <w:sdtEndPr/>
              <w:sdtContent>
                <w:r w:rsidR="0054620D">
                  <w:rPr>
                    <w:rFonts w:ascii="MS Gothic" w:eastAsia="MS Gothic" w:hAnsi="MS Gothic" w:cs="Arial" w:hint="eastAsia"/>
                    <w:b/>
                    <w:sz w:val="24"/>
                    <w:lang w:val="en-US"/>
                  </w:rPr>
                  <w:t>☐</w:t>
                </w:r>
              </w:sdtContent>
            </w:sdt>
            <w:r w:rsidR="00F8325E" w:rsidRPr="00661CA4">
              <w:rPr>
                <w:rFonts w:ascii="Arial" w:hAnsi="Arial" w:cs="Arial"/>
                <w:sz w:val="24"/>
              </w:rPr>
              <w:t xml:space="preserve"> investments in digitalisation, digital innovation and digital connectivity;</w:t>
            </w:r>
          </w:p>
          <w:p w14:paraId="74490D03" w14:textId="0AD79B21" w:rsidR="00F8325E" w:rsidRPr="00661CA4" w:rsidRDefault="00E41E54" w:rsidP="00661CA4">
            <w:pPr>
              <w:spacing w:before="60" w:after="60"/>
              <w:ind w:left="-14"/>
              <w:jc w:val="both"/>
              <w:rPr>
                <w:rFonts w:ascii="Arial" w:hAnsi="Arial" w:cs="Arial"/>
                <w:sz w:val="24"/>
              </w:rPr>
            </w:pPr>
            <w:sdt>
              <w:sdtPr>
                <w:rPr>
                  <w:rFonts w:ascii="MS Gothic" w:eastAsia="MS Gothic" w:hAnsi="MS Gothic" w:cs="Arial"/>
                  <w:b/>
                  <w:sz w:val="24"/>
                  <w:lang w:val="en-US"/>
                </w:rPr>
                <w:id w:val="1537462759"/>
                <w14:checkbox>
                  <w14:checked w14:val="1"/>
                  <w14:checkedState w14:val="2612" w14:font="MS Gothic"/>
                  <w14:uncheckedState w14:val="2610" w14:font="MS Gothic"/>
                </w14:checkbox>
              </w:sdtPr>
              <w:sdtEndPr/>
              <w:sdtContent>
                <w:r w:rsidR="0054620D">
                  <w:rPr>
                    <w:rFonts w:ascii="MS Gothic" w:eastAsia="MS Gothic" w:hAnsi="MS Gothic" w:cs="Arial" w:hint="eastAsia"/>
                    <w:b/>
                    <w:sz w:val="24"/>
                    <w:lang w:val="en-US"/>
                  </w:rPr>
                  <w:t>☒</w:t>
                </w:r>
              </w:sdtContent>
            </w:sdt>
            <w:r w:rsidR="00F8325E" w:rsidRPr="00661CA4">
              <w:rPr>
                <w:rFonts w:ascii="Arial" w:hAnsi="Arial" w:cs="Arial"/>
                <w:sz w:val="24"/>
              </w:rPr>
              <w:t xml:space="preserve"> investments in regeneration and decontamination of brownfield sites, land restoration and including where necessary green infrastructure and repurposing projects, taking into account the </w:t>
            </w:r>
            <w:r w:rsidR="00B74ECC">
              <w:rPr>
                <w:rFonts w:ascii="Arial" w:hAnsi="Arial" w:cs="Arial"/>
                <w:sz w:val="24"/>
              </w:rPr>
              <w:t>'</w:t>
            </w:r>
            <w:r w:rsidR="00F8325E" w:rsidRPr="00661CA4">
              <w:rPr>
                <w:rFonts w:ascii="Arial" w:hAnsi="Arial" w:cs="Arial"/>
                <w:sz w:val="24"/>
              </w:rPr>
              <w:t>polluter pays</w:t>
            </w:r>
            <w:r w:rsidR="00B74ECC">
              <w:rPr>
                <w:rFonts w:ascii="Arial" w:hAnsi="Arial" w:cs="Arial"/>
                <w:sz w:val="24"/>
              </w:rPr>
              <w:t>'</w:t>
            </w:r>
            <w:r w:rsidR="00F8325E" w:rsidRPr="00661CA4">
              <w:rPr>
                <w:rFonts w:ascii="Arial" w:hAnsi="Arial" w:cs="Arial"/>
                <w:sz w:val="24"/>
              </w:rPr>
              <w:t xml:space="preserve"> principle;</w:t>
            </w:r>
          </w:p>
          <w:p w14:paraId="3185160A" w14:textId="77777777" w:rsidR="00F8325E" w:rsidRPr="00661CA4" w:rsidRDefault="00E41E54" w:rsidP="00661CA4">
            <w:pPr>
              <w:spacing w:before="60" w:after="60"/>
              <w:ind w:left="-14"/>
              <w:jc w:val="both"/>
              <w:rPr>
                <w:rFonts w:ascii="Arial" w:hAnsi="Arial" w:cs="Arial"/>
                <w:sz w:val="24"/>
              </w:rPr>
            </w:pPr>
            <w:sdt>
              <w:sdtPr>
                <w:rPr>
                  <w:rFonts w:ascii="MS Gothic" w:eastAsia="MS Gothic" w:hAnsi="MS Gothic" w:cs="Arial"/>
                  <w:b/>
                  <w:sz w:val="24"/>
                  <w:lang w:val="en-US"/>
                </w:rPr>
                <w:id w:val="-427730966"/>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investments in enhancing the circular economy, including through waste prevention, reduction, resource efficiency, reuse, repair and recycling;</w:t>
            </w:r>
          </w:p>
          <w:p w14:paraId="59AB517A" w14:textId="1802437C" w:rsidR="00F8325E" w:rsidRPr="00661CA4" w:rsidRDefault="00E41E54" w:rsidP="00661CA4">
            <w:pPr>
              <w:spacing w:before="60" w:after="60"/>
              <w:ind w:left="-14"/>
              <w:jc w:val="both"/>
              <w:rPr>
                <w:rFonts w:ascii="Arial" w:hAnsi="Arial" w:cs="Arial"/>
                <w:sz w:val="24"/>
              </w:rPr>
            </w:pPr>
            <w:sdt>
              <w:sdtPr>
                <w:rPr>
                  <w:rFonts w:ascii="MS Gothic" w:eastAsia="MS Gothic" w:hAnsi="MS Gothic" w:cs="Arial"/>
                  <w:b/>
                  <w:sz w:val="24"/>
                  <w:lang w:val="en-US"/>
                </w:rPr>
                <w:id w:val="-184525825"/>
                <w14:checkbox>
                  <w14:checked w14:val="0"/>
                  <w14:checkedState w14:val="2612" w14:font="MS Gothic"/>
                  <w14:uncheckedState w14:val="2610" w14:font="MS Gothic"/>
                </w14:checkbox>
              </w:sdtPr>
              <w:sdtEndPr/>
              <w:sdtContent>
                <w:r w:rsidR="000A3560">
                  <w:rPr>
                    <w:rFonts w:ascii="MS Gothic" w:eastAsia="MS Gothic" w:hAnsi="MS Gothic" w:cs="Arial" w:hint="eastAsia"/>
                    <w:b/>
                    <w:sz w:val="24"/>
                    <w:lang w:val="en-US"/>
                  </w:rPr>
                  <w:t>☐</w:t>
                </w:r>
              </w:sdtContent>
            </w:sdt>
            <w:r w:rsidR="00F8325E" w:rsidRPr="00661CA4">
              <w:rPr>
                <w:rFonts w:ascii="Arial" w:hAnsi="Arial" w:cs="Arial"/>
                <w:sz w:val="24"/>
              </w:rPr>
              <w:t xml:space="preserve"> upskilling and reskilling of workers and jobseekers;</w:t>
            </w:r>
          </w:p>
          <w:p w14:paraId="1C6198FA" w14:textId="77777777" w:rsidR="00F8325E" w:rsidRPr="00661CA4" w:rsidRDefault="00E41E54" w:rsidP="00661CA4">
            <w:pPr>
              <w:spacing w:before="60" w:after="60"/>
              <w:ind w:left="-14"/>
              <w:jc w:val="both"/>
              <w:rPr>
                <w:rFonts w:ascii="Arial" w:hAnsi="Arial" w:cs="Arial"/>
                <w:sz w:val="24"/>
              </w:rPr>
            </w:pPr>
            <w:sdt>
              <w:sdtPr>
                <w:rPr>
                  <w:rFonts w:ascii="MS Gothic" w:eastAsia="MS Gothic" w:hAnsi="MS Gothic" w:cs="Arial"/>
                  <w:b/>
                  <w:sz w:val="24"/>
                  <w:lang w:val="en-US"/>
                </w:rPr>
                <w:id w:val="-1799133754"/>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job-search assistance to jobseekers;</w:t>
            </w:r>
          </w:p>
          <w:p w14:paraId="6736789F" w14:textId="77777777" w:rsidR="00F8325E" w:rsidRPr="00661CA4" w:rsidRDefault="00E41E54" w:rsidP="00661CA4">
            <w:pPr>
              <w:spacing w:before="60" w:after="60"/>
              <w:ind w:left="-14"/>
              <w:jc w:val="both"/>
              <w:rPr>
                <w:rFonts w:ascii="Arial" w:hAnsi="Arial" w:cs="Arial"/>
                <w:sz w:val="24"/>
              </w:rPr>
            </w:pPr>
            <w:sdt>
              <w:sdtPr>
                <w:rPr>
                  <w:rFonts w:ascii="MS Gothic" w:eastAsia="MS Gothic" w:hAnsi="MS Gothic" w:cs="Arial"/>
                  <w:b/>
                  <w:sz w:val="24"/>
                  <w:lang w:val="en-US"/>
                </w:rPr>
                <w:id w:val="-1047759733"/>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active inclusion of jobseekers;</w:t>
            </w:r>
          </w:p>
          <w:p w14:paraId="2FBE68BE" w14:textId="77777777" w:rsidR="00F8325E" w:rsidRPr="00661CA4" w:rsidRDefault="00E41E54" w:rsidP="00661CA4">
            <w:pPr>
              <w:spacing w:before="60" w:after="60"/>
              <w:ind w:left="-14"/>
              <w:jc w:val="both"/>
              <w:rPr>
                <w:rFonts w:ascii="Arial" w:hAnsi="Arial" w:cs="Arial"/>
                <w:sz w:val="24"/>
              </w:rPr>
            </w:pPr>
            <w:sdt>
              <w:sdtPr>
                <w:rPr>
                  <w:rFonts w:ascii="MS Gothic" w:eastAsia="MS Gothic" w:hAnsi="MS Gothic" w:cs="Arial"/>
                  <w:b/>
                  <w:sz w:val="24"/>
                  <w:lang w:val="en-US"/>
                </w:rPr>
                <w:id w:val="1320848694"/>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technical assistance;</w:t>
            </w:r>
          </w:p>
          <w:p w14:paraId="547E9135" w14:textId="368C7E10" w:rsidR="00F8325E" w:rsidRDefault="00E41E54" w:rsidP="00661CA4">
            <w:pPr>
              <w:spacing w:before="60" w:after="60"/>
              <w:ind w:left="-14"/>
              <w:jc w:val="both"/>
              <w:rPr>
                <w:rFonts w:ascii="Arial" w:hAnsi="Arial" w:cs="Arial"/>
                <w:sz w:val="24"/>
              </w:rPr>
            </w:pPr>
            <w:sdt>
              <w:sdtPr>
                <w:rPr>
                  <w:rFonts w:ascii="MS Gothic" w:eastAsia="MS Gothic" w:hAnsi="MS Gothic" w:cs="Arial"/>
                  <w:b/>
                  <w:sz w:val="24"/>
                  <w:lang w:val="en-US"/>
                </w:rPr>
                <w:id w:val="-1130467589"/>
                <w14:checkbox>
                  <w14:checked w14:val="0"/>
                  <w14:checkedState w14:val="2612" w14:font="MS Gothic"/>
                  <w14:uncheckedState w14:val="2610" w14:font="MS Gothic"/>
                </w14:checkbox>
              </w:sdtPr>
              <w:sdtEndPr/>
              <w:sdtContent>
                <w:r w:rsidR="00F8325E" w:rsidRPr="00661CA4">
                  <w:rPr>
                    <w:rFonts w:ascii="MS Gothic" w:eastAsia="MS Gothic" w:hAnsi="MS Gothic" w:cs="Arial" w:hint="eastAsia"/>
                    <w:b/>
                    <w:sz w:val="24"/>
                    <w:lang w:val="en-US"/>
                  </w:rPr>
                  <w:t>☐</w:t>
                </w:r>
              </w:sdtContent>
            </w:sdt>
            <w:r w:rsidR="00F8325E" w:rsidRPr="00661CA4">
              <w:rPr>
                <w:rFonts w:ascii="Arial" w:hAnsi="Arial" w:cs="Arial"/>
                <w:sz w:val="24"/>
              </w:rPr>
              <w:t xml:space="preserve"> other activities in the areas of education and social inclusion including, where duly justified, infrastructure for the purposes of training centres, child and elderly care facilities as indicated in the territorial just transition plans in accordance with Article 11 of the Just Transition Fund regulation.</w:t>
            </w:r>
          </w:p>
          <w:p w14:paraId="46CCFA0A" w14:textId="4A1E89B4" w:rsidR="0029017D" w:rsidRDefault="0029017D" w:rsidP="00661CA4">
            <w:pPr>
              <w:spacing w:before="60" w:after="60"/>
              <w:ind w:left="-14"/>
              <w:jc w:val="both"/>
              <w:rPr>
                <w:rFonts w:ascii="Arial" w:hAnsi="Arial" w:cs="Arial"/>
                <w:sz w:val="24"/>
              </w:rPr>
            </w:pPr>
          </w:p>
          <w:p w14:paraId="36C519F7" w14:textId="58F10C2D" w:rsidR="00C25026" w:rsidRPr="00661CA4" w:rsidRDefault="00C25026" w:rsidP="00661CA4">
            <w:pPr>
              <w:spacing w:before="60" w:after="60"/>
              <w:ind w:left="-14"/>
              <w:jc w:val="both"/>
              <w:rPr>
                <w:rFonts w:ascii="Arial" w:hAnsi="Arial" w:cs="Arial"/>
                <w:sz w:val="24"/>
              </w:rPr>
            </w:pPr>
          </w:p>
        </w:tc>
      </w:tr>
    </w:tbl>
    <w:p w14:paraId="0C01D6B5" w14:textId="77777777" w:rsidR="007F0941" w:rsidRDefault="007F0941">
      <w:pPr>
        <w:jc w:val="both"/>
        <w:rPr>
          <w:rFonts w:ascii="Arial" w:hAnsi="Arial" w:cs="Arial"/>
        </w:rPr>
      </w:pPr>
    </w:p>
    <w:tbl>
      <w:tblPr>
        <w:tblStyle w:val="TableGrid"/>
        <w:tblW w:w="9445" w:type="dxa"/>
        <w:tblLook w:val="04A0" w:firstRow="1" w:lastRow="0" w:firstColumn="1" w:lastColumn="0" w:noHBand="0" w:noVBand="1"/>
      </w:tblPr>
      <w:tblGrid>
        <w:gridCol w:w="9445"/>
      </w:tblGrid>
      <w:tr w:rsidR="007F0941" w14:paraId="57A40FB2" w14:textId="77777777" w:rsidTr="00661CA4">
        <w:tc>
          <w:tcPr>
            <w:tcW w:w="9445" w:type="dxa"/>
            <w:shd w:val="clear" w:color="auto" w:fill="D9D9D9" w:themeFill="background1" w:themeFillShade="D9"/>
          </w:tcPr>
          <w:p w14:paraId="795AA0AE" w14:textId="07A689F2" w:rsidR="00C25026" w:rsidRDefault="00C25026" w:rsidP="00CA5EF6">
            <w:pPr>
              <w:jc w:val="both"/>
              <w:rPr>
                <w:rFonts w:ascii="Arial" w:hAnsi="Arial" w:cs="Arial"/>
                <w:b/>
                <w:sz w:val="24"/>
              </w:rPr>
            </w:pPr>
            <w:r>
              <w:rPr>
                <w:rFonts w:ascii="Arial" w:hAnsi="Arial" w:cs="Arial"/>
                <w:b/>
                <w:sz w:val="24"/>
              </w:rPr>
              <w:t xml:space="preserve">Alignment with requirements of Articles </w:t>
            </w:r>
            <w:r w:rsidR="00FF54B4">
              <w:rPr>
                <w:rFonts w:ascii="Arial" w:hAnsi="Arial" w:cs="Arial"/>
                <w:b/>
                <w:sz w:val="24"/>
              </w:rPr>
              <w:t>8 and 11</w:t>
            </w:r>
            <w:r>
              <w:rPr>
                <w:rFonts w:ascii="Arial" w:hAnsi="Arial" w:cs="Arial"/>
                <w:b/>
                <w:sz w:val="24"/>
              </w:rPr>
              <w:t xml:space="preserve"> for non-SME productive investments</w:t>
            </w:r>
          </w:p>
          <w:p w14:paraId="26F0B663" w14:textId="77777777" w:rsidR="00C25026" w:rsidRDefault="00C25026" w:rsidP="00CA5EF6">
            <w:pPr>
              <w:jc w:val="both"/>
              <w:rPr>
                <w:rFonts w:ascii="Arial" w:hAnsi="Arial" w:cs="Arial"/>
                <w:b/>
                <w:sz w:val="24"/>
              </w:rPr>
            </w:pPr>
          </w:p>
          <w:p w14:paraId="51D064A3" w14:textId="69FDB673" w:rsidR="00C25026" w:rsidRDefault="00C25026" w:rsidP="00CA5EF6">
            <w:pPr>
              <w:jc w:val="both"/>
              <w:rPr>
                <w:rFonts w:ascii="Arial" w:hAnsi="Arial" w:cs="Arial"/>
                <w:b/>
                <w:i/>
                <w:sz w:val="24"/>
              </w:rPr>
            </w:pPr>
            <w:r>
              <w:rPr>
                <w:rFonts w:ascii="Arial" w:hAnsi="Arial" w:cs="Arial"/>
                <w:b/>
                <w:i/>
                <w:sz w:val="24"/>
              </w:rPr>
              <w:t xml:space="preserve">Article </w:t>
            </w:r>
            <w:r w:rsidR="00FF54B4">
              <w:rPr>
                <w:rFonts w:ascii="Arial" w:hAnsi="Arial" w:cs="Arial"/>
                <w:b/>
                <w:i/>
                <w:sz w:val="24"/>
              </w:rPr>
              <w:t>8</w:t>
            </w:r>
            <w:r>
              <w:rPr>
                <w:rFonts w:ascii="Arial" w:hAnsi="Arial" w:cs="Arial"/>
                <w:b/>
                <w:i/>
                <w:sz w:val="24"/>
              </w:rPr>
              <w:t xml:space="preserve"> </w:t>
            </w:r>
            <w:r w:rsidR="00B74ECC">
              <w:rPr>
                <w:rFonts w:ascii="Arial" w:hAnsi="Arial" w:cs="Arial"/>
                <w:b/>
                <w:i/>
                <w:sz w:val="24"/>
              </w:rPr>
              <w:t>"</w:t>
            </w:r>
            <w:r w:rsidRPr="00FB0EFD">
              <w:rPr>
                <w:i/>
              </w:rPr>
              <w:t>the JTF may support, in areas designated as assisted areas in accordance with points (a) and (c) of Article 107(3) of the TFEU, productive investments in enterprises other than SMEs, provided that such investments have been approved as part of the territorial just transition plan based on the information required under point (h) of Article 7(2). Such investments shall only be eligible where they are necessary for the implementation of the territorial just transition plan.</w:t>
            </w:r>
            <w:r w:rsidR="00B74ECC">
              <w:rPr>
                <w:rFonts w:ascii="Arial" w:hAnsi="Arial" w:cs="Arial"/>
                <w:b/>
                <w:i/>
                <w:sz w:val="24"/>
              </w:rPr>
              <w:t>"</w:t>
            </w:r>
          </w:p>
          <w:p w14:paraId="3723715A" w14:textId="65C062DC" w:rsidR="00C25026" w:rsidRDefault="00C25026" w:rsidP="00CA5EF6">
            <w:pPr>
              <w:jc w:val="both"/>
              <w:rPr>
                <w:rFonts w:ascii="Arial" w:hAnsi="Arial" w:cs="Arial"/>
                <w:b/>
                <w:i/>
                <w:sz w:val="24"/>
              </w:rPr>
            </w:pPr>
          </w:p>
          <w:p w14:paraId="209D719C" w14:textId="5A27E286" w:rsidR="00C25026" w:rsidRPr="00C25026" w:rsidRDefault="00FF54B4" w:rsidP="00CA5EF6">
            <w:pPr>
              <w:jc w:val="both"/>
              <w:rPr>
                <w:rFonts w:ascii="Arial" w:hAnsi="Arial" w:cs="Arial"/>
                <w:b/>
                <w:sz w:val="24"/>
              </w:rPr>
            </w:pPr>
            <w:r>
              <w:rPr>
                <w:rFonts w:ascii="Arial" w:hAnsi="Arial" w:cs="Arial"/>
                <w:b/>
                <w:i/>
                <w:sz w:val="24"/>
              </w:rPr>
              <w:lastRenderedPageBreak/>
              <w:t>Article 11</w:t>
            </w:r>
            <w:r w:rsidR="00C25026">
              <w:rPr>
                <w:rFonts w:ascii="Arial" w:hAnsi="Arial" w:cs="Arial"/>
                <w:b/>
                <w:i/>
                <w:sz w:val="24"/>
              </w:rPr>
              <w:t xml:space="preserve">(2) </w:t>
            </w:r>
            <w:r w:rsidR="00B74ECC">
              <w:rPr>
                <w:rFonts w:ascii="Arial" w:hAnsi="Arial" w:cs="Arial"/>
                <w:b/>
                <w:i/>
                <w:sz w:val="24"/>
              </w:rPr>
              <w:t>"</w:t>
            </w:r>
            <w:r w:rsidR="00C25026" w:rsidRPr="00FB0EFD">
              <w:rPr>
                <w:i/>
              </w:rPr>
              <w:t>where support is provided to productive investments to enterprises other than SMEs, an exhaustive list of such operations and enterprises and a justification of the necessity of such support through a gap analysis demonstrating that the expected job losses would exceed the expected number of jobs created in the absence of the investment;</w:t>
            </w:r>
            <w:r w:rsidR="00B74ECC">
              <w:rPr>
                <w:rFonts w:ascii="Arial" w:hAnsi="Arial" w:cs="Arial"/>
                <w:b/>
                <w:i/>
                <w:sz w:val="24"/>
              </w:rPr>
              <w:t>"</w:t>
            </w:r>
          </w:p>
          <w:p w14:paraId="3D96A77C" w14:textId="63BB90F5" w:rsidR="007F0941" w:rsidRDefault="00C25026" w:rsidP="00CA5EF6">
            <w:pPr>
              <w:jc w:val="both"/>
              <w:rPr>
                <w:rFonts w:ascii="Arial" w:hAnsi="Arial" w:cs="Arial"/>
              </w:rPr>
            </w:pPr>
            <w:r>
              <w:rPr>
                <w:rFonts w:ascii="Arial" w:hAnsi="Arial" w:cs="Arial"/>
                <w:b/>
                <w:sz w:val="24"/>
              </w:rPr>
              <w:t xml:space="preserve"> </w:t>
            </w:r>
          </w:p>
        </w:tc>
      </w:tr>
      <w:tr w:rsidR="007F0941" w14:paraId="24255BD7" w14:textId="77777777" w:rsidTr="00661CA4">
        <w:tc>
          <w:tcPr>
            <w:tcW w:w="9445" w:type="dxa"/>
          </w:tcPr>
          <w:p w14:paraId="4BFAFCB9" w14:textId="77777777" w:rsidR="007F0941" w:rsidRDefault="007F0941">
            <w:pPr>
              <w:jc w:val="both"/>
              <w:rPr>
                <w:rFonts w:ascii="Arial" w:hAnsi="Arial" w:cs="Arial"/>
              </w:rPr>
            </w:pPr>
          </w:p>
          <w:p w14:paraId="76BE35F9" w14:textId="5E4C6F45" w:rsidR="007F0941" w:rsidRPr="00B74ECC" w:rsidRDefault="00B74ECC">
            <w:pPr>
              <w:jc w:val="both"/>
              <w:rPr>
                <w:rFonts w:ascii="Arial" w:hAnsi="Arial" w:cs="Arial"/>
                <w:i/>
              </w:rPr>
            </w:pPr>
            <w:r w:rsidRPr="00B74ECC">
              <w:rPr>
                <w:rFonts w:ascii="Arial" w:hAnsi="Arial" w:cs="Arial"/>
                <w:i/>
              </w:rPr>
              <w:t>Not applicable</w:t>
            </w:r>
          </w:p>
          <w:p w14:paraId="7A297974" w14:textId="77777777" w:rsidR="007F0941" w:rsidRDefault="007F0941">
            <w:pPr>
              <w:jc w:val="both"/>
              <w:rPr>
                <w:rFonts w:ascii="Arial" w:hAnsi="Arial" w:cs="Arial"/>
              </w:rPr>
            </w:pPr>
          </w:p>
        </w:tc>
      </w:tr>
    </w:tbl>
    <w:p w14:paraId="5C5EDA8D" w14:textId="77777777" w:rsidR="007F0941" w:rsidRDefault="007F0941">
      <w:pPr>
        <w:jc w:val="both"/>
      </w:pPr>
    </w:p>
    <w:tbl>
      <w:tblPr>
        <w:tblStyle w:val="TableGrid"/>
        <w:tblW w:w="9445" w:type="dxa"/>
        <w:tblLook w:val="04A0" w:firstRow="1" w:lastRow="0" w:firstColumn="1" w:lastColumn="0" w:noHBand="0" w:noVBand="1"/>
      </w:tblPr>
      <w:tblGrid>
        <w:gridCol w:w="9445"/>
      </w:tblGrid>
      <w:tr w:rsidR="00D902BA" w14:paraId="378CF409" w14:textId="77777777" w:rsidTr="006F4D89">
        <w:tc>
          <w:tcPr>
            <w:tcW w:w="9445" w:type="dxa"/>
            <w:shd w:val="clear" w:color="auto" w:fill="D9D9D9" w:themeFill="background1" w:themeFillShade="D9"/>
          </w:tcPr>
          <w:p w14:paraId="3DF33D8C" w14:textId="159FED1E" w:rsidR="00D902BA" w:rsidRDefault="00D902BA">
            <w:pPr>
              <w:jc w:val="both"/>
              <w:rPr>
                <w:rFonts w:ascii="Arial" w:hAnsi="Arial" w:cs="Arial"/>
              </w:rPr>
            </w:pPr>
            <w:r>
              <w:rPr>
                <w:rFonts w:ascii="Arial" w:hAnsi="Arial" w:cs="Arial"/>
                <w:b/>
                <w:sz w:val="24"/>
              </w:rPr>
              <w:t>JASPERS recommendations (if any)</w:t>
            </w:r>
          </w:p>
        </w:tc>
      </w:tr>
      <w:tr w:rsidR="00D902BA" w14:paraId="3555EC3C" w14:textId="77777777" w:rsidTr="006F4D89">
        <w:tc>
          <w:tcPr>
            <w:tcW w:w="9445" w:type="dxa"/>
          </w:tcPr>
          <w:p w14:paraId="3EBAE987" w14:textId="77777777" w:rsidR="000D2ABA" w:rsidRDefault="000D2ABA">
            <w:pPr>
              <w:jc w:val="both"/>
              <w:rPr>
                <w:rFonts w:ascii="Arial" w:hAnsi="Arial" w:cs="Arial"/>
                <w:i/>
              </w:rPr>
            </w:pPr>
          </w:p>
          <w:p w14:paraId="758EFDA8" w14:textId="77777777" w:rsidR="00D902BA" w:rsidRDefault="0008508E">
            <w:pPr>
              <w:jc w:val="both"/>
              <w:rPr>
                <w:rFonts w:ascii="Arial" w:hAnsi="Arial" w:cs="Arial"/>
                <w:i/>
              </w:rPr>
            </w:pPr>
            <w:r w:rsidRPr="00EC5463">
              <w:rPr>
                <w:rFonts w:ascii="Arial" w:hAnsi="Arial" w:cs="Arial"/>
                <w:i/>
              </w:rPr>
              <w:t xml:space="preserve">None </w:t>
            </w:r>
          </w:p>
          <w:p w14:paraId="67369DF0" w14:textId="239DBE01" w:rsidR="000D2ABA" w:rsidRDefault="000D2ABA">
            <w:pPr>
              <w:jc w:val="both"/>
              <w:rPr>
                <w:rFonts w:ascii="Arial" w:hAnsi="Arial" w:cs="Arial"/>
              </w:rPr>
            </w:pPr>
          </w:p>
        </w:tc>
      </w:tr>
    </w:tbl>
    <w:p w14:paraId="3C5490CA" w14:textId="18FDD5FA" w:rsidR="00D902BA" w:rsidRDefault="00D902BA">
      <w:pPr>
        <w:jc w:val="both"/>
      </w:pPr>
    </w:p>
    <w:p w14:paraId="4C2D77F8" w14:textId="77777777" w:rsidR="00C25026" w:rsidRDefault="00C25026" w:rsidP="00C25026">
      <w:pPr>
        <w:jc w:val="both"/>
        <w:rPr>
          <w:rFonts w:ascii="Arial" w:hAnsi="Arial" w:cs="Arial"/>
          <w:b/>
          <w:sz w:val="24"/>
          <w:u w:val="single"/>
        </w:rPr>
      </w:pPr>
      <w:r>
        <w:rPr>
          <w:rFonts w:ascii="Arial" w:hAnsi="Arial" w:cs="Arial"/>
          <w:b/>
          <w:sz w:val="24"/>
          <w:u w:val="single"/>
        </w:rPr>
        <w:t>Project assessment criteria</w:t>
      </w:r>
    </w:p>
    <w:p w14:paraId="13436ACE" w14:textId="77777777" w:rsidR="00C300DE" w:rsidRDefault="00C300DE">
      <w:pPr>
        <w:jc w:val="both"/>
      </w:pPr>
    </w:p>
    <w:tbl>
      <w:tblPr>
        <w:tblStyle w:val="TableGrid"/>
        <w:tblW w:w="9445" w:type="dxa"/>
        <w:tblLook w:val="04A0" w:firstRow="1" w:lastRow="0" w:firstColumn="1" w:lastColumn="0" w:noHBand="0" w:noVBand="1"/>
      </w:tblPr>
      <w:tblGrid>
        <w:gridCol w:w="9445"/>
      </w:tblGrid>
      <w:tr w:rsidR="00F8325E" w14:paraId="6D308E14" w14:textId="77777777" w:rsidTr="00F8325E">
        <w:tc>
          <w:tcPr>
            <w:tcW w:w="9445" w:type="dxa"/>
            <w:shd w:val="clear" w:color="auto" w:fill="D9D9D9" w:themeFill="background1" w:themeFillShade="D9"/>
          </w:tcPr>
          <w:p w14:paraId="1C651703" w14:textId="77777777" w:rsidR="00F8325E" w:rsidRDefault="00F8325E" w:rsidP="00256D89">
            <w:pPr>
              <w:spacing w:before="60" w:after="60"/>
              <w:jc w:val="both"/>
              <w:rPr>
                <w:rFonts w:ascii="Arial" w:hAnsi="Arial" w:cs="Arial"/>
                <w:b/>
                <w:sz w:val="24"/>
              </w:rPr>
            </w:pPr>
            <w:r>
              <w:rPr>
                <w:rFonts w:ascii="Arial" w:hAnsi="Arial" w:cs="Arial"/>
                <w:b/>
                <w:sz w:val="24"/>
              </w:rPr>
              <w:t>Feasibility of the Project</w:t>
            </w:r>
          </w:p>
        </w:tc>
      </w:tr>
      <w:tr w:rsidR="00F8325E" w14:paraId="0EA775BD" w14:textId="77777777" w:rsidTr="00F8325E">
        <w:tc>
          <w:tcPr>
            <w:tcW w:w="9445" w:type="dxa"/>
          </w:tcPr>
          <w:p w14:paraId="7AC773BF" w14:textId="61446F04" w:rsidR="00F8325E" w:rsidRDefault="00C25026">
            <w:pPr>
              <w:pStyle w:val="ListParagraph"/>
              <w:numPr>
                <w:ilvl w:val="0"/>
                <w:numId w:val="9"/>
              </w:numPr>
              <w:spacing w:before="60" w:after="60"/>
              <w:jc w:val="both"/>
              <w:rPr>
                <w:rFonts w:ascii="Arial" w:hAnsi="Arial" w:cs="Arial"/>
                <w:sz w:val="24"/>
                <w:szCs w:val="24"/>
                <w:u w:val="single"/>
              </w:rPr>
            </w:pPr>
            <w:r>
              <w:rPr>
                <w:rFonts w:ascii="Arial" w:hAnsi="Arial" w:cs="Arial"/>
                <w:sz w:val="24"/>
                <w:szCs w:val="24"/>
                <w:u w:val="single"/>
              </w:rPr>
              <w:t>Project scope and timetable</w:t>
            </w:r>
          </w:p>
          <w:p w14:paraId="125D8578" w14:textId="220EEF7E" w:rsidR="00B74ECC" w:rsidRDefault="00B74ECC" w:rsidP="00B74ECC">
            <w:pPr>
              <w:pStyle w:val="ListParagraph"/>
              <w:spacing w:before="60" w:after="60"/>
              <w:jc w:val="both"/>
              <w:rPr>
                <w:rFonts w:ascii="Arial" w:hAnsi="Arial" w:cs="Arial"/>
                <w:i/>
                <w:sz w:val="24"/>
                <w:szCs w:val="24"/>
              </w:rPr>
            </w:pPr>
          </w:p>
          <w:p w14:paraId="320673A4" w14:textId="7E466816" w:rsidR="00B74ECC" w:rsidRPr="00B74ECC" w:rsidRDefault="00EC5463" w:rsidP="00B74ECC">
            <w:pPr>
              <w:spacing w:before="60" w:after="60"/>
              <w:jc w:val="both"/>
              <w:rPr>
                <w:rFonts w:ascii="Arial" w:hAnsi="Arial" w:cs="Arial"/>
                <w:color w:val="202124"/>
                <w:shd w:val="clear" w:color="auto" w:fill="FFFFFF"/>
              </w:rPr>
            </w:pPr>
            <w:r>
              <w:rPr>
                <w:rFonts w:ascii="Arial" w:hAnsi="Arial" w:cs="Arial"/>
                <w:color w:val="202124"/>
                <w:shd w:val="clear" w:color="auto" w:fill="FFFFFF"/>
              </w:rPr>
              <w:t xml:space="preserve">Sufficient information </w:t>
            </w:r>
            <w:proofErr w:type="gramStart"/>
            <w:r>
              <w:rPr>
                <w:rFonts w:ascii="Arial" w:hAnsi="Arial" w:cs="Arial"/>
                <w:color w:val="202124"/>
                <w:shd w:val="clear" w:color="auto" w:fill="FFFFFF"/>
              </w:rPr>
              <w:t>has been provided</w:t>
            </w:r>
            <w:proofErr w:type="gramEnd"/>
            <w:r>
              <w:rPr>
                <w:rFonts w:ascii="Arial" w:hAnsi="Arial" w:cs="Arial"/>
                <w:color w:val="202124"/>
                <w:shd w:val="clear" w:color="auto" w:fill="FFFFFF"/>
              </w:rPr>
              <w:t xml:space="preserve"> to allow us to understand the broad scope of the project, its costs and objectives and the development path. </w:t>
            </w:r>
          </w:p>
          <w:p w14:paraId="4FDFB489" w14:textId="55D43682" w:rsidR="00B74ECC" w:rsidRPr="00B74ECC" w:rsidRDefault="00B74ECC" w:rsidP="00B74ECC">
            <w:pPr>
              <w:spacing w:before="60" w:after="60"/>
              <w:jc w:val="both"/>
              <w:rPr>
                <w:rFonts w:ascii="Arial" w:hAnsi="Arial" w:cs="Arial"/>
                <w:color w:val="202124"/>
                <w:shd w:val="clear" w:color="auto" w:fill="FFFFFF"/>
              </w:rPr>
            </w:pPr>
          </w:p>
          <w:p w14:paraId="6FA100C5" w14:textId="72776315" w:rsidR="00F8325E" w:rsidRPr="000D2ABA" w:rsidRDefault="00B74ECC" w:rsidP="000D2ABA">
            <w:pPr>
              <w:spacing w:before="60" w:after="60"/>
              <w:jc w:val="both"/>
              <w:rPr>
                <w:rFonts w:ascii="Arial" w:hAnsi="Arial" w:cs="Arial"/>
                <w:color w:val="202124"/>
                <w:shd w:val="clear" w:color="auto" w:fill="FFFFFF"/>
              </w:rPr>
            </w:pPr>
            <w:r w:rsidRPr="00B74ECC">
              <w:rPr>
                <w:rFonts w:ascii="Arial" w:hAnsi="Arial" w:cs="Arial"/>
                <w:color w:val="202124"/>
                <w:shd w:val="clear" w:color="auto" w:fill="FFFFFF"/>
              </w:rPr>
              <w:t xml:space="preserve">The </w:t>
            </w:r>
            <w:r w:rsidR="00EC5463">
              <w:rPr>
                <w:rFonts w:ascii="Arial" w:hAnsi="Arial" w:cs="Arial"/>
                <w:color w:val="202124"/>
                <w:shd w:val="clear" w:color="auto" w:fill="FFFFFF"/>
              </w:rPr>
              <w:t xml:space="preserve">timetable </w:t>
            </w:r>
            <w:r w:rsidR="0008508E">
              <w:rPr>
                <w:rFonts w:ascii="Arial" w:hAnsi="Arial" w:cs="Arial"/>
                <w:color w:val="202124"/>
                <w:shd w:val="clear" w:color="auto" w:fill="FFFFFF"/>
              </w:rPr>
              <w:t xml:space="preserve">for the project is </w:t>
            </w:r>
            <w:r w:rsidR="000D2ABA">
              <w:rPr>
                <w:rFonts w:ascii="Arial" w:hAnsi="Arial" w:cs="Arial"/>
                <w:color w:val="202124"/>
                <w:shd w:val="clear" w:color="auto" w:fill="FFFFFF"/>
              </w:rPr>
              <w:t>six years</w:t>
            </w:r>
            <w:r w:rsidR="00EC5463">
              <w:rPr>
                <w:rFonts w:ascii="Arial" w:hAnsi="Arial" w:cs="Arial"/>
                <w:color w:val="202124"/>
                <w:shd w:val="clear" w:color="auto" w:fill="FFFFFF"/>
              </w:rPr>
              <w:t>.</w:t>
            </w:r>
            <w:r w:rsidR="000D2ABA">
              <w:rPr>
                <w:rFonts w:ascii="Arial" w:hAnsi="Arial" w:cs="Arial"/>
                <w:color w:val="202124"/>
                <w:shd w:val="clear" w:color="auto" w:fill="FFFFFF"/>
              </w:rPr>
              <w:t xml:space="preserve"> This should be more than sufficient, given that construction is not included.  </w:t>
            </w:r>
          </w:p>
        </w:tc>
      </w:tr>
      <w:tr w:rsidR="00F8325E" w14:paraId="6EBC7460" w14:textId="77777777" w:rsidTr="00F8325E">
        <w:tc>
          <w:tcPr>
            <w:tcW w:w="9445" w:type="dxa"/>
          </w:tcPr>
          <w:p w14:paraId="495C83FD" w14:textId="77777777" w:rsidR="00F8325E" w:rsidRDefault="00F8325E">
            <w:pPr>
              <w:pStyle w:val="ListParagraph"/>
              <w:numPr>
                <w:ilvl w:val="0"/>
                <w:numId w:val="9"/>
              </w:numPr>
              <w:spacing w:before="60" w:after="60"/>
              <w:jc w:val="both"/>
              <w:rPr>
                <w:rFonts w:ascii="Arial" w:hAnsi="Arial" w:cs="Arial"/>
                <w:sz w:val="24"/>
                <w:szCs w:val="24"/>
                <w:u w:val="single"/>
              </w:rPr>
            </w:pPr>
            <w:r>
              <w:rPr>
                <w:rFonts w:ascii="Arial" w:hAnsi="Arial" w:cs="Arial"/>
                <w:sz w:val="24"/>
                <w:szCs w:val="24"/>
                <w:u w:val="single"/>
              </w:rPr>
              <w:t>Institutional capacity</w:t>
            </w:r>
          </w:p>
          <w:p w14:paraId="2A60E133" w14:textId="499F6E21" w:rsidR="008A3687" w:rsidRPr="008A3687" w:rsidRDefault="00B74ECC" w:rsidP="008A3687">
            <w:pPr>
              <w:spacing w:before="60" w:after="60"/>
              <w:jc w:val="both"/>
              <w:rPr>
                <w:rFonts w:ascii="Arial" w:hAnsi="Arial" w:cs="Arial"/>
                <w:color w:val="202124"/>
                <w:shd w:val="clear" w:color="auto" w:fill="FFFFFF"/>
              </w:rPr>
            </w:pPr>
            <w:r w:rsidRPr="008A3687">
              <w:rPr>
                <w:rFonts w:ascii="Arial" w:hAnsi="Arial" w:cs="Arial"/>
                <w:color w:val="202124"/>
                <w:shd w:val="clear" w:color="auto" w:fill="FFFFFF"/>
              </w:rPr>
              <w:t>The promoter</w:t>
            </w:r>
            <w:r w:rsidR="0008508E">
              <w:rPr>
                <w:rFonts w:ascii="Arial" w:hAnsi="Arial" w:cs="Arial"/>
                <w:color w:val="202124"/>
                <w:shd w:val="clear" w:color="auto" w:fill="FFFFFF"/>
              </w:rPr>
              <w:t xml:space="preserve">'s technical capacity is difficult to judge. The region has implemented a number </w:t>
            </w:r>
            <w:r w:rsidRPr="008A3687">
              <w:rPr>
                <w:rFonts w:ascii="Arial" w:hAnsi="Arial" w:cs="Arial"/>
                <w:color w:val="202124"/>
                <w:shd w:val="clear" w:color="auto" w:fill="FFFFFF"/>
              </w:rPr>
              <w:t>of investment projects</w:t>
            </w:r>
            <w:r w:rsidR="0008508E">
              <w:rPr>
                <w:rFonts w:ascii="Arial" w:hAnsi="Arial" w:cs="Arial"/>
                <w:color w:val="202124"/>
                <w:shd w:val="clear" w:color="auto" w:fill="FFFFFF"/>
              </w:rPr>
              <w:t xml:space="preserve">, the largest of which – a school - cost around EUR14m.  </w:t>
            </w:r>
            <w:proofErr w:type="gramStart"/>
            <w:r w:rsidR="0008508E">
              <w:rPr>
                <w:rFonts w:ascii="Arial" w:hAnsi="Arial" w:cs="Arial"/>
                <w:color w:val="202124"/>
                <w:shd w:val="clear" w:color="auto" w:fill="FFFFFF"/>
              </w:rPr>
              <w:t>Assuming that construction is included in this figure,</w:t>
            </w:r>
            <w:proofErr w:type="gramEnd"/>
            <w:r w:rsidR="0008508E">
              <w:rPr>
                <w:rFonts w:ascii="Arial" w:hAnsi="Arial" w:cs="Arial"/>
                <w:color w:val="202124"/>
                <w:shd w:val="clear" w:color="auto" w:fill="FFFFFF"/>
              </w:rPr>
              <w:t xml:space="preserve"> </w:t>
            </w:r>
            <w:proofErr w:type="gramStart"/>
            <w:r w:rsidR="0008508E">
              <w:rPr>
                <w:rFonts w:ascii="Arial" w:hAnsi="Arial" w:cs="Arial"/>
                <w:color w:val="202124"/>
                <w:shd w:val="clear" w:color="auto" w:fill="FFFFFF"/>
              </w:rPr>
              <w:t>it</w:t>
            </w:r>
            <w:proofErr w:type="gramEnd"/>
            <w:r w:rsidR="0008508E">
              <w:rPr>
                <w:rFonts w:ascii="Arial" w:hAnsi="Arial" w:cs="Arial"/>
                <w:color w:val="202124"/>
                <w:shd w:val="clear" w:color="auto" w:fill="FFFFFF"/>
              </w:rPr>
              <w:t xml:space="preserve"> is unlikely that the preparatory work involved would be of comparable scope or complexity to the proposed project. However, s</w:t>
            </w:r>
            <w:r w:rsidR="008A3687" w:rsidRPr="008A3687">
              <w:rPr>
                <w:rFonts w:ascii="Arial" w:hAnsi="Arial" w:cs="Arial"/>
                <w:color w:val="202124"/>
                <w:shd w:val="clear" w:color="auto" w:fill="FFFFFF"/>
              </w:rPr>
              <w:t>ince the project does not involve</w:t>
            </w:r>
            <w:r w:rsidR="0008508E">
              <w:rPr>
                <w:rFonts w:ascii="Arial" w:hAnsi="Arial" w:cs="Arial"/>
                <w:color w:val="202124"/>
                <w:shd w:val="clear" w:color="auto" w:fill="FFFFFF"/>
              </w:rPr>
              <w:t xml:space="preserve"> the </w:t>
            </w:r>
            <w:r w:rsidR="00475362">
              <w:rPr>
                <w:rFonts w:ascii="Arial" w:hAnsi="Arial" w:cs="Arial"/>
                <w:color w:val="202124"/>
                <w:shd w:val="clear" w:color="auto" w:fill="FFFFFF"/>
              </w:rPr>
              <w:t>park's actual construction</w:t>
            </w:r>
            <w:r w:rsidR="0008508E">
              <w:rPr>
                <w:rFonts w:ascii="Arial" w:hAnsi="Arial" w:cs="Arial"/>
                <w:color w:val="202124"/>
                <w:shd w:val="clear" w:color="auto" w:fill="FFFFFF"/>
              </w:rPr>
              <w:t xml:space="preserve">, the </w:t>
            </w:r>
            <w:proofErr w:type="gramStart"/>
            <w:r w:rsidR="0008508E">
              <w:rPr>
                <w:rFonts w:ascii="Arial" w:hAnsi="Arial" w:cs="Arial"/>
                <w:color w:val="202124"/>
                <w:shd w:val="clear" w:color="auto" w:fill="FFFFFF"/>
              </w:rPr>
              <w:t>promoters</w:t>
            </w:r>
            <w:proofErr w:type="gramEnd"/>
            <w:r w:rsidR="00475362">
              <w:rPr>
                <w:rFonts w:ascii="Arial" w:hAnsi="Arial" w:cs="Arial"/>
                <w:color w:val="202124"/>
                <w:shd w:val="clear" w:color="auto" w:fill="FFFFFF"/>
              </w:rPr>
              <w:t xml:space="preserve"> apparent</w:t>
            </w:r>
            <w:r w:rsidR="0008508E">
              <w:rPr>
                <w:rFonts w:ascii="Arial" w:hAnsi="Arial" w:cs="Arial"/>
                <w:color w:val="202124"/>
                <w:shd w:val="clear" w:color="auto" w:fill="FFFFFF"/>
              </w:rPr>
              <w:t xml:space="preserve"> lack of (demonstrated) experience may not be a major issue.   </w:t>
            </w:r>
          </w:p>
          <w:p w14:paraId="0083A6FD" w14:textId="55A9F80C" w:rsidR="008A3687" w:rsidRPr="008A3687" w:rsidRDefault="008A3687" w:rsidP="008A3687">
            <w:pPr>
              <w:spacing w:before="60" w:after="60"/>
              <w:jc w:val="both"/>
              <w:rPr>
                <w:rFonts w:ascii="Arial" w:hAnsi="Arial" w:cs="Arial"/>
                <w:color w:val="202124"/>
                <w:shd w:val="clear" w:color="auto" w:fill="FFFFFF"/>
              </w:rPr>
            </w:pPr>
          </w:p>
          <w:p w14:paraId="460075B1" w14:textId="04FA71C6" w:rsidR="0008508E" w:rsidRDefault="008A3687" w:rsidP="008A3687">
            <w:pPr>
              <w:spacing w:before="60" w:after="60"/>
              <w:jc w:val="both"/>
              <w:rPr>
                <w:rFonts w:ascii="Arial" w:hAnsi="Arial" w:cs="Arial"/>
                <w:color w:val="202124"/>
                <w:shd w:val="clear" w:color="auto" w:fill="FFFFFF"/>
              </w:rPr>
            </w:pPr>
            <w:r w:rsidRPr="008A3687">
              <w:rPr>
                <w:rFonts w:ascii="Arial" w:hAnsi="Arial" w:cs="Arial"/>
                <w:color w:val="202124"/>
                <w:shd w:val="clear" w:color="auto" w:fill="FFFFFF"/>
              </w:rPr>
              <w:t xml:space="preserve">The promoter (the region) will </w:t>
            </w:r>
            <w:r w:rsidR="0008508E">
              <w:rPr>
                <w:rFonts w:ascii="Arial" w:hAnsi="Arial" w:cs="Arial"/>
                <w:color w:val="202124"/>
                <w:shd w:val="clear" w:color="auto" w:fill="FFFFFF"/>
              </w:rPr>
              <w:t xml:space="preserve">co-finance the project (approx. EUR2.65m). There are no operational costs. No information </w:t>
            </w:r>
            <w:proofErr w:type="gramStart"/>
            <w:r w:rsidR="0008508E">
              <w:rPr>
                <w:rFonts w:ascii="Arial" w:hAnsi="Arial" w:cs="Arial"/>
                <w:color w:val="202124"/>
                <w:shd w:val="clear" w:color="auto" w:fill="FFFFFF"/>
              </w:rPr>
              <w:t>is provided</w:t>
            </w:r>
            <w:proofErr w:type="gramEnd"/>
            <w:r w:rsidR="0008508E">
              <w:rPr>
                <w:rFonts w:ascii="Arial" w:hAnsi="Arial" w:cs="Arial"/>
                <w:color w:val="202124"/>
                <w:shd w:val="clear" w:color="auto" w:fill="FFFFFF"/>
              </w:rPr>
              <w:t xml:space="preserve"> on the regions budget or its financial health; however, given the relatively small sum, there is no reason to doubt its ability to co-finance. </w:t>
            </w:r>
          </w:p>
          <w:p w14:paraId="058C343B" w14:textId="5A17711B" w:rsidR="00B74ECC" w:rsidRPr="000D2ABA" w:rsidRDefault="0008508E" w:rsidP="008A3687">
            <w:pPr>
              <w:spacing w:before="60" w:after="60"/>
              <w:jc w:val="both"/>
              <w:rPr>
                <w:rFonts w:ascii="Arial" w:hAnsi="Arial" w:cs="Arial"/>
                <w:color w:val="202124"/>
                <w:shd w:val="clear" w:color="auto" w:fill="FFFFFF"/>
              </w:rPr>
            </w:pPr>
            <w:r>
              <w:rPr>
                <w:rFonts w:ascii="Arial" w:hAnsi="Arial" w:cs="Arial"/>
                <w:color w:val="202124"/>
                <w:shd w:val="clear" w:color="auto" w:fill="FFFFFF"/>
              </w:rPr>
              <w:t>The promoter has identified various sources of financing for the future construction of the park, including T</w:t>
            </w:r>
            <w:r w:rsidRPr="0008508E">
              <w:rPr>
                <w:rFonts w:ascii="Arial" w:hAnsi="Arial" w:cs="Arial"/>
                <w:color w:val="202124"/>
                <w:shd w:val="clear" w:color="auto" w:fill="FFFFFF"/>
              </w:rPr>
              <w:t xml:space="preserve">he National Recovery Plan, IROP, OP TAK, </w:t>
            </w:r>
            <w:r>
              <w:rPr>
                <w:rFonts w:ascii="Arial" w:hAnsi="Arial" w:cs="Arial"/>
                <w:color w:val="202124"/>
                <w:shd w:val="clear" w:color="auto" w:fill="FFFFFF"/>
              </w:rPr>
              <w:t>and Pillars 2 and 3</w:t>
            </w:r>
            <w:r w:rsidRPr="0008508E">
              <w:rPr>
                <w:rFonts w:ascii="Arial" w:hAnsi="Arial" w:cs="Arial"/>
                <w:color w:val="202124"/>
                <w:shd w:val="clear" w:color="auto" w:fill="FFFFFF"/>
              </w:rPr>
              <w:t xml:space="preserve"> of the J</w:t>
            </w:r>
            <w:r>
              <w:rPr>
                <w:rFonts w:ascii="Arial" w:hAnsi="Arial" w:cs="Arial"/>
                <w:color w:val="202124"/>
                <w:shd w:val="clear" w:color="auto" w:fill="FFFFFF"/>
              </w:rPr>
              <w:t>ust Transition Mechanism (JT).</w:t>
            </w:r>
          </w:p>
        </w:tc>
      </w:tr>
      <w:tr w:rsidR="00F8325E" w14:paraId="794429B3" w14:textId="77777777" w:rsidTr="00F8325E">
        <w:tc>
          <w:tcPr>
            <w:tcW w:w="9445" w:type="dxa"/>
          </w:tcPr>
          <w:p w14:paraId="4EC988E0" w14:textId="77777777" w:rsidR="00F8325E" w:rsidRDefault="00F8325E">
            <w:pPr>
              <w:pStyle w:val="ListParagraph"/>
              <w:numPr>
                <w:ilvl w:val="0"/>
                <w:numId w:val="9"/>
              </w:numPr>
              <w:spacing w:before="60" w:after="60"/>
              <w:jc w:val="both"/>
              <w:rPr>
                <w:rFonts w:ascii="Arial" w:hAnsi="Arial" w:cs="Arial"/>
                <w:sz w:val="24"/>
                <w:szCs w:val="24"/>
                <w:u w:val="single"/>
              </w:rPr>
            </w:pPr>
            <w:r>
              <w:rPr>
                <w:rFonts w:ascii="Arial" w:hAnsi="Arial" w:cs="Arial"/>
                <w:sz w:val="24"/>
                <w:szCs w:val="24"/>
                <w:u w:val="single"/>
              </w:rPr>
              <w:t>Technical feasibility</w:t>
            </w:r>
          </w:p>
          <w:p w14:paraId="29101381" w14:textId="77777777" w:rsidR="008A3687" w:rsidRDefault="008A3687" w:rsidP="008A3687">
            <w:pPr>
              <w:spacing w:before="60" w:after="60"/>
              <w:jc w:val="both"/>
              <w:rPr>
                <w:rFonts w:ascii="Arial" w:hAnsi="Arial" w:cs="Arial"/>
                <w:i/>
                <w:sz w:val="24"/>
                <w:szCs w:val="24"/>
              </w:rPr>
            </w:pPr>
          </w:p>
          <w:p w14:paraId="694E08FF" w14:textId="1554950C" w:rsidR="0008508E" w:rsidRDefault="008A3687" w:rsidP="008A3687">
            <w:pPr>
              <w:spacing w:before="60" w:after="60"/>
              <w:jc w:val="both"/>
              <w:rPr>
                <w:rFonts w:ascii="Arial" w:hAnsi="Arial" w:cs="Arial"/>
                <w:color w:val="202124"/>
                <w:shd w:val="clear" w:color="auto" w:fill="FFFFFF"/>
              </w:rPr>
            </w:pPr>
            <w:r w:rsidRPr="008A3687">
              <w:rPr>
                <w:rFonts w:ascii="Arial" w:hAnsi="Arial" w:cs="Arial"/>
                <w:color w:val="202124"/>
                <w:shd w:val="clear" w:color="auto" w:fill="FFFFFF"/>
              </w:rPr>
              <w:t>The</w:t>
            </w:r>
            <w:r w:rsidR="0008508E">
              <w:rPr>
                <w:rFonts w:ascii="Arial" w:hAnsi="Arial" w:cs="Arial"/>
                <w:color w:val="202124"/>
                <w:shd w:val="clear" w:color="auto" w:fill="FFFFFF"/>
              </w:rPr>
              <w:t xml:space="preserve">re is limited information available on the size of the project, other than the plot – 20ha – and the park's capacity – around 50 businesses. </w:t>
            </w:r>
            <w:r w:rsidRPr="008A3687">
              <w:rPr>
                <w:rFonts w:ascii="Arial" w:hAnsi="Arial" w:cs="Arial"/>
                <w:color w:val="202124"/>
                <w:shd w:val="clear" w:color="auto" w:fill="FFFFFF"/>
              </w:rPr>
              <w:t xml:space="preserve"> </w:t>
            </w:r>
            <w:r w:rsidR="0008508E">
              <w:rPr>
                <w:rFonts w:ascii="Arial" w:hAnsi="Arial" w:cs="Arial"/>
                <w:color w:val="202124"/>
                <w:shd w:val="clear" w:color="auto" w:fill="FFFFFF"/>
              </w:rPr>
              <w:t xml:space="preserve">Without information on the demand from businesses for the facilities, it is difficult to comment on whether the size of the park is reasonable. </w:t>
            </w:r>
          </w:p>
          <w:p w14:paraId="55C4B4A2" w14:textId="77777777" w:rsidR="0008508E" w:rsidRDefault="0008508E" w:rsidP="008A3687">
            <w:pPr>
              <w:spacing w:before="60" w:after="60"/>
              <w:jc w:val="both"/>
              <w:rPr>
                <w:rFonts w:ascii="Arial" w:hAnsi="Arial" w:cs="Arial"/>
                <w:color w:val="202124"/>
                <w:shd w:val="clear" w:color="auto" w:fill="FFFFFF"/>
              </w:rPr>
            </w:pPr>
          </w:p>
          <w:p w14:paraId="00F2AF85" w14:textId="492E4D4F" w:rsidR="00F8325E" w:rsidRPr="008A3687" w:rsidRDefault="0008508E" w:rsidP="0008508E">
            <w:pPr>
              <w:spacing w:before="60" w:after="60"/>
              <w:jc w:val="both"/>
              <w:rPr>
                <w:rFonts w:ascii="Arial" w:hAnsi="Arial" w:cs="Arial"/>
                <w:i/>
                <w:sz w:val="24"/>
                <w:szCs w:val="24"/>
              </w:rPr>
            </w:pPr>
            <w:r>
              <w:rPr>
                <w:rFonts w:ascii="Arial" w:hAnsi="Arial" w:cs="Arial"/>
                <w:color w:val="202124"/>
                <w:shd w:val="clear" w:color="auto" w:fill="FFFFFF"/>
              </w:rPr>
              <w:lastRenderedPageBreak/>
              <w:t>The project involves the preparatory activities rather than the construction and subsequent operation of the park, so it is</w:t>
            </w:r>
            <w:r w:rsidR="008A3687" w:rsidRPr="008A3687">
              <w:rPr>
                <w:rFonts w:ascii="Arial" w:hAnsi="Arial" w:cs="Arial"/>
                <w:color w:val="202124"/>
                <w:shd w:val="clear" w:color="auto" w:fill="FFFFFF"/>
              </w:rPr>
              <w:t xml:space="preserve"> technically straightforward. </w:t>
            </w:r>
          </w:p>
        </w:tc>
      </w:tr>
      <w:tr w:rsidR="00F8325E" w14:paraId="1EAE29A4" w14:textId="77777777" w:rsidTr="00F8325E">
        <w:tc>
          <w:tcPr>
            <w:tcW w:w="9445" w:type="dxa"/>
          </w:tcPr>
          <w:p w14:paraId="4700B48F" w14:textId="41D6903D" w:rsidR="00F8325E" w:rsidRDefault="00C25026">
            <w:pPr>
              <w:pStyle w:val="ListParagraph"/>
              <w:numPr>
                <w:ilvl w:val="0"/>
                <w:numId w:val="9"/>
              </w:numPr>
              <w:spacing w:before="60" w:after="60"/>
              <w:jc w:val="both"/>
              <w:rPr>
                <w:rFonts w:ascii="Arial" w:hAnsi="Arial" w:cs="Arial"/>
                <w:sz w:val="24"/>
                <w:szCs w:val="24"/>
                <w:u w:val="single"/>
              </w:rPr>
            </w:pPr>
            <w:r>
              <w:rPr>
                <w:rFonts w:ascii="Arial" w:hAnsi="Arial" w:cs="Arial"/>
                <w:sz w:val="24"/>
                <w:szCs w:val="24"/>
                <w:u w:val="single"/>
              </w:rPr>
              <w:lastRenderedPageBreak/>
              <w:t xml:space="preserve">Financial </w:t>
            </w:r>
            <w:r w:rsidR="00F8325E">
              <w:rPr>
                <w:rFonts w:ascii="Arial" w:hAnsi="Arial" w:cs="Arial"/>
                <w:sz w:val="24"/>
                <w:szCs w:val="24"/>
                <w:u w:val="single"/>
              </w:rPr>
              <w:t>feasibility</w:t>
            </w:r>
          </w:p>
          <w:p w14:paraId="6B11B15A" w14:textId="459B6F54" w:rsidR="008A3687" w:rsidRDefault="008A3687" w:rsidP="008A3687">
            <w:pPr>
              <w:spacing w:before="60" w:after="60"/>
              <w:jc w:val="both"/>
              <w:rPr>
                <w:rFonts w:ascii="Arial" w:hAnsi="Arial" w:cs="Arial"/>
                <w:i/>
                <w:sz w:val="24"/>
                <w:szCs w:val="24"/>
              </w:rPr>
            </w:pPr>
          </w:p>
          <w:p w14:paraId="770AB21E" w14:textId="0584E411" w:rsidR="008A3687" w:rsidRPr="008A3687" w:rsidRDefault="008A3687" w:rsidP="008A3687">
            <w:pPr>
              <w:spacing w:before="60" w:after="60"/>
              <w:jc w:val="both"/>
              <w:rPr>
                <w:rFonts w:ascii="Arial" w:hAnsi="Arial" w:cs="Arial"/>
                <w:color w:val="202124"/>
                <w:shd w:val="clear" w:color="auto" w:fill="FFFFFF"/>
              </w:rPr>
            </w:pPr>
            <w:r w:rsidRPr="008A3687">
              <w:rPr>
                <w:rFonts w:ascii="Arial" w:hAnsi="Arial" w:cs="Arial"/>
                <w:color w:val="202124"/>
                <w:shd w:val="clear" w:color="auto" w:fill="FFFFFF"/>
              </w:rPr>
              <w:t>The promoter has not provided any informati</w:t>
            </w:r>
            <w:r w:rsidR="0008508E">
              <w:rPr>
                <w:rFonts w:ascii="Arial" w:hAnsi="Arial" w:cs="Arial"/>
                <w:color w:val="202124"/>
                <w:shd w:val="clear" w:color="auto" w:fill="FFFFFF"/>
              </w:rPr>
              <w:t xml:space="preserve">on about the need for the park (e.g. a lack of suitable business premises or real estate in the region) or demand from business to locate. On the contrary, the documentation suggests there is currently a lack of business and entrepreneurs in the region and that the park </w:t>
            </w:r>
            <w:proofErr w:type="gramStart"/>
            <w:r w:rsidR="0008508E">
              <w:rPr>
                <w:rFonts w:ascii="Arial" w:hAnsi="Arial" w:cs="Arial"/>
                <w:color w:val="202124"/>
                <w:shd w:val="clear" w:color="auto" w:fill="FFFFFF"/>
              </w:rPr>
              <w:t>is needed</w:t>
            </w:r>
            <w:proofErr w:type="gramEnd"/>
            <w:r w:rsidR="0008508E">
              <w:rPr>
                <w:rFonts w:ascii="Arial" w:hAnsi="Arial" w:cs="Arial"/>
                <w:color w:val="202124"/>
                <w:shd w:val="clear" w:color="auto" w:fill="FFFFFF"/>
              </w:rPr>
              <w:t xml:space="preserve"> to generate demand. It seems unlikely that the lack of infrastructure and business premises alone is the reason for the problems identified in the region.  </w:t>
            </w:r>
          </w:p>
          <w:p w14:paraId="4B79A1AE" w14:textId="5156FD6A" w:rsidR="008A3687" w:rsidRPr="008A3687" w:rsidRDefault="008A3687" w:rsidP="008A3687">
            <w:pPr>
              <w:spacing w:before="60" w:after="60"/>
              <w:jc w:val="both"/>
              <w:rPr>
                <w:rFonts w:ascii="Arial" w:hAnsi="Arial" w:cs="Arial"/>
                <w:color w:val="202124"/>
                <w:shd w:val="clear" w:color="auto" w:fill="FFFFFF"/>
              </w:rPr>
            </w:pPr>
          </w:p>
          <w:p w14:paraId="1144A7D3" w14:textId="4B1881D9" w:rsidR="008A3687" w:rsidRPr="008A3687" w:rsidRDefault="008A3687" w:rsidP="008A3687">
            <w:pPr>
              <w:spacing w:before="60" w:after="60"/>
              <w:jc w:val="both"/>
              <w:rPr>
                <w:rFonts w:ascii="Arial" w:hAnsi="Arial" w:cs="Arial"/>
                <w:color w:val="202124"/>
                <w:shd w:val="clear" w:color="auto" w:fill="FFFFFF"/>
              </w:rPr>
            </w:pPr>
            <w:r w:rsidRPr="008A3687">
              <w:rPr>
                <w:rFonts w:ascii="Arial" w:hAnsi="Arial" w:cs="Arial"/>
                <w:color w:val="202124"/>
                <w:shd w:val="clear" w:color="auto" w:fill="FFFFFF"/>
              </w:rPr>
              <w:t xml:space="preserve">The </w:t>
            </w:r>
            <w:r w:rsidR="0008508E">
              <w:rPr>
                <w:rFonts w:ascii="Arial" w:hAnsi="Arial" w:cs="Arial"/>
                <w:color w:val="202124"/>
                <w:shd w:val="clear" w:color="auto" w:fill="FFFFFF"/>
              </w:rPr>
              <w:t xml:space="preserve">scope of the project does not include the operation of the park; therefore, the </w:t>
            </w:r>
            <w:r w:rsidRPr="008A3687">
              <w:rPr>
                <w:rFonts w:ascii="Arial" w:hAnsi="Arial" w:cs="Arial"/>
                <w:color w:val="202124"/>
                <w:shd w:val="clear" w:color="auto" w:fill="FFFFFF"/>
              </w:rPr>
              <w:t xml:space="preserve">business model </w:t>
            </w:r>
            <w:r w:rsidR="0008508E">
              <w:rPr>
                <w:rFonts w:ascii="Arial" w:hAnsi="Arial" w:cs="Arial"/>
                <w:color w:val="202124"/>
                <w:shd w:val="clear" w:color="auto" w:fill="FFFFFF"/>
              </w:rPr>
              <w:t xml:space="preserve">and the financial viability of the park </w:t>
            </w:r>
            <w:proofErr w:type="gramStart"/>
            <w:r w:rsidR="0008508E">
              <w:rPr>
                <w:rFonts w:ascii="Arial" w:hAnsi="Arial" w:cs="Arial"/>
                <w:color w:val="202124"/>
                <w:shd w:val="clear" w:color="auto" w:fill="FFFFFF"/>
              </w:rPr>
              <w:t>cannot be assessed</w:t>
            </w:r>
            <w:proofErr w:type="gramEnd"/>
            <w:r w:rsidR="0008508E">
              <w:rPr>
                <w:rFonts w:ascii="Arial" w:hAnsi="Arial" w:cs="Arial"/>
                <w:color w:val="202124"/>
                <w:shd w:val="clear" w:color="auto" w:fill="FFFFFF"/>
              </w:rPr>
              <w:t xml:space="preserve">. </w:t>
            </w:r>
          </w:p>
          <w:p w14:paraId="7DF7F808" w14:textId="2CF33382" w:rsidR="0008508E" w:rsidRDefault="0008508E" w:rsidP="008A3687">
            <w:pPr>
              <w:spacing w:before="60" w:after="60"/>
              <w:jc w:val="both"/>
              <w:rPr>
                <w:rFonts w:ascii="Arial" w:hAnsi="Arial" w:cs="Arial"/>
                <w:color w:val="202124"/>
                <w:shd w:val="clear" w:color="auto" w:fill="FFFFFF"/>
              </w:rPr>
            </w:pPr>
          </w:p>
          <w:p w14:paraId="090BCB96" w14:textId="528D86B1" w:rsidR="0008508E" w:rsidRDefault="0008508E" w:rsidP="008A3687">
            <w:pPr>
              <w:spacing w:before="60" w:after="60"/>
              <w:jc w:val="both"/>
              <w:rPr>
                <w:rFonts w:ascii="Arial" w:hAnsi="Arial" w:cs="Arial"/>
                <w:color w:val="202124"/>
                <w:shd w:val="clear" w:color="auto" w:fill="FFFFFF"/>
              </w:rPr>
            </w:pPr>
            <w:r>
              <w:rPr>
                <w:rFonts w:ascii="Arial" w:hAnsi="Arial" w:cs="Arial"/>
                <w:color w:val="202124"/>
                <w:shd w:val="clear" w:color="auto" w:fill="FFFFFF"/>
              </w:rPr>
              <w:t xml:space="preserve">The budget for acquisition, construction and "upgrading construction" is approx. EUR11.7 (65% of the total project cost). Without further information about the price of the land and the works envisaged, it is again difficult to comment on the reasonableness of the budget. </w:t>
            </w:r>
          </w:p>
          <w:p w14:paraId="011BB2FC" w14:textId="0B83B869" w:rsidR="00F8325E" w:rsidRPr="008A3687" w:rsidRDefault="00F8325E" w:rsidP="0008508E">
            <w:pPr>
              <w:spacing w:before="60" w:after="60"/>
              <w:jc w:val="both"/>
              <w:rPr>
                <w:rFonts w:ascii="Arial" w:hAnsi="Arial" w:cs="Arial"/>
                <w:sz w:val="24"/>
                <w:szCs w:val="24"/>
              </w:rPr>
            </w:pPr>
          </w:p>
        </w:tc>
      </w:tr>
      <w:tr w:rsidR="00F8325E" w14:paraId="7653D42E" w14:textId="77777777" w:rsidTr="00F8325E">
        <w:tc>
          <w:tcPr>
            <w:tcW w:w="9445" w:type="dxa"/>
          </w:tcPr>
          <w:p w14:paraId="6A054300" w14:textId="77777777" w:rsidR="008E0B4A" w:rsidRDefault="007F2832" w:rsidP="00BE5331">
            <w:pPr>
              <w:pStyle w:val="ListParagraph"/>
              <w:numPr>
                <w:ilvl w:val="0"/>
                <w:numId w:val="9"/>
              </w:numPr>
              <w:rPr>
                <w:rFonts w:ascii="Arial" w:hAnsi="Arial" w:cs="Arial"/>
                <w:sz w:val="24"/>
                <w:szCs w:val="24"/>
                <w:u w:val="single"/>
              </w:rPr>
            </w:pPr>
            <w:r w:rsidRPr="00BE5331">
              <w:rPr>
                <w:rFonts w:ascii="Arial" w:hAnsi="Arial" w:cs="Arial"/>
                <w:sz w:val="24"/>
                <w:szCs w:val="24"/>
                <w:u w:val="single"/>
              </w:rPr>
              <w:t>Project risks</w:t>
            </w:r>
          </w:p>
          <w:p w14:paraId="46098583" w14:textId="7842AF47" w:rsidR="008A3687" w:rsidRPr="008A3687" w:rsidRDefault="0008508E" w:rsidP="0008508E">
            <w:pPr>
              <w:spacing w:before="60" w:after="60"/>
              <w:jc w:val="both"/>
              <w:rPr>
                <w:color w:val="1F497D"/>
              </w:rPr>
            </w:pPr>
            <w:r>
              <w:rPr>
                <w:rFonts w:ascii="Arial" w:hAnsi="Arial" w:cs="Arial"/>
                <w:color w:val="202124"/>
                <w:shd w:val="clear" w:color="auto" w:fill="FFFFFF"/>
              </w:rPr>
              <w:t xml:space="preserve">The risks related to the preparatory activities are limited. The subsequent construction of the park, however, entails numerous risks. The primary risk facing the park's financial sustainability and the project's ability to meet its objectives is a lack of demand and the underutilisation of the park's capacity. </w:t>
            </w:r>
          </w:p>
        </w:tc>
      </w:tr>
    </w:tbl>
    <w:p w14:paraId="08FFEC4A" w14:textId="77777777" w:rsidR="007F0941" w:rsidRDefault="007F0941">
      <w:pPr>
        <w:jc w:val="both"/>
        <w:rPr>
          <w:rFonts w:ascii="Arial" w:hAnsi="Arial" w:cs="Arial"/>
          <w:b/>
        </w:rPr>
      </w:pPr>
    </w:p>
    <w:tbl>
      <w:tblPr>
        <w:tblStyle w:val="TableGrid"/>
        <w:tblW w:w="9445" w:type="dxa"/>
        <w:tblLook w:val="04A0" w:firstRow="1" w:lastRow="0" w:firstColumn="1" w:lastColumn="0" w:noHBand="0" w:noVBand="1"/>
      </w:tblPr>
      <w:tblGrid>
        <w:gridCol w:w="9445"/>
      </w:tblGrid>
      <w:tr w:rsidR="00D902BA" w14:paraId="10ADCBAF" w14:textId="77777777" w:rsidTr="006F4D89">
        <w:tc>
          <w:tcPr>
            <w:tcW w:w="9445" w:type="dxa"/>
            <w:shd w:val="clear" w:color="auto" w:fill="D9D9D9" w:themeFill="background1" w:themeFillShade="D9"/>
          </w:tcPr>
          <w:p w14:paraId="5D1884DC" w14:textId="77777777" w:rsidR="00D902BA" w:rsidRDefault="00D902BA" w:rsidP="006F4D89">
            <w:pPr>
              <w:jc w:val="both"/>
              <w:rPr>
                <w:rFonts w:ascii="Arial" w:hAnsi="Arial" w:cs="Arial"/>
              </w:rPr>
            </w:pPr>
            <w:r>
              <w:rPr>
                <w:rFonts w:ascii="Arial" w:hAnsi="Arial" w:cs="Arial"/>
                <w:b/>
                <w:sz w:val="24"/>
              </w:rPr>
              <w:t>JASPERS comments and recommendations (if any)</w:t>
            </w:r>
          </w:p>
        </w:tc>
      </w:tr>
      <w:tr w:rsidR="00D902BA" w14:paraId="1646AE0D" w14:textId="77777777" w:rsidTr="006F4D89">
        <w:tc>
          <w:tcPr>
            <w:tcW w:w="9445" w:type="dxa"/>
          </w:tcPr>
          <w:p w14:paraId="1C7D7758" w14:textId="77777777" w:rsidR="00D902BA" w:rsidRDefault="00D902BA" w:rsidP="006F4D89">
            <w:pPr>
              <w:jc w:val="both"/>
              <w:rPr>
                <w:rFonts w:ascii="Arial" w:hAnsi="Arial" w:cs="Arial"/>
              </w:rPr>
            </w:pPr>
          </w:p>
          <w:p w14:paraId="20D9EA6E" w14:textId="7D525E1C" w:rsidR="00E70C55" w:rsidRPr="00475362" w:rsidRDefault="0008508E" w:rsidP="00FB0EFD">
            <w:pPr>
              <w:spacing w:before="60" w:after="60"/>
              <w:ind w:left="360"/>
              <w:jc w:val="both"/>
              <w:rPr>
                <w:rFonts w:ascii="Arial" w:hAnsi="Arial" w:cs="Arial"/>
              </w:rPr>
            </w:pPr>
            <w:r w:rsidRPr="00475362">
              <w:rPr>
                <w:rFonts w:ascii="Arial" w:hAnsi="Arial" w:cs="Arial"/>
              </w:rPr>
              <w:t>The promotor should focus on:</w:t>
            </w:r>
          </w:p>
          <w:p w14:paraId="340C795B" w14:textId="7CE5AA14" w:rsidR="008A3687" w:rsidRPr="00475362" w:rsidRDefault="0008508E" w:rsidP="008A3687">
            <w:pPr>
              <w:pStyle w:val="ListParagraph"/>
              <w:numPr>
                <w:ilvl w:val="0"/>
                <w:numId w:val="24"/>
              </w:numPr>
              <w:spacing w:before="60" w:after="60"/>
              <w:jc w:val="both"/>
              <w:rPr>
                <w:rFonts w:ascii="Arial" w:hAnsi="Arial" w:cs="Arial"/>
              </w:rPr>
            </w:pPr>
            <w:r w:rsidRPr="00475362">
              <w:rPr>
                <w:rFonts w:ascii="Arial" w:hAnsi="Arial" w:cs="Arial"/>
              </w:rPr>
              <w:t>Demonstrating that t</w:t>
            </w:r>
            <w:r w:rsidR="008A3687" w:rsidRPr="00475362">
              <w:rPr>
                <w:rFonts w:ascii="Arial" w:hAnsi="Arial" w:cs="Arial"/>
              </w:rPr>
              <w:t xml:space="preserve">here is demand </w:t>
            </w:r>
            <w:r w:rsidRPr="00475362">
              <w:rPr>
                <w:rFonts w:ascii="Arial" w:hAnsi="Arial" w:cs="Arial"/>
              </w:rPr>
              <w:t>from bu</w:t>
            </w:r>
            <w:r w:rsidR="00475362">
              <w:rPr>
                <w:rFonts w:ascii="Arial" w:hAnsi="Arial" w:cs="Arial"/>
              </w:rPr>
              <w:t>si</w:t>
            </w:r>
            <w:r w:rsidRPr="00475362">
              <w:rPr>
                <w:rFonts w:ascii="Arial" w:hAnsi="Arial" w:cs="Arial"/>
              </w:rPr>
              <w:t>ness</w:t>
            </w:r>
            <w:r w:rsidR="00475362">
              <w:rPr>
                <w:rFonts w:ascii="Arial" w:hAnsi="Arial" w:cs="Arial"/>
              </w:rPr>
              <w:t>es</w:t>
            </w:r>
            <w:r w:rsidRPr="00475362">
              <w:rPr>
                <w:rFonts w:ascii="Arial" w:hAnsi="Arial" w:cs="Arial"/>
              </w:rPr>
              <w:t xml:space="preserve"> for premises/real estate. </w:t>
            </w:r>
          </w:p>
          <w:p w14:paraId="4A82CF13" w14:textId="77777777" w:rsidR="0008508E" w:rsidRPr="00475362" w:rsidRDefault="0008508E" w:rsidP="0008508E">
            <w:pPr>
              <w:pStyle w:val="ListParagraph"/>
              <w:numPr>
                <w:ilvl w:val="0"/>
                <w:numId w:val="24"/>
              </w:numPr>
              <w:spacing w:before="60" w:after="60"/>
              <w:jc w:val="both"/>
              <w:rPr>
                <w:rFonts w:ascii="Arial" w:hAnsi="Arial" w:cs="Arial"/>
              </w:rPr>
            </w:pPr>
            <w:r w:rsidRPr="00475362">
              <w:rPr>
                <w:rFonts w:ascii="Arial" w:hAnsi="Arial" w:cs="Arial"/>
              </w:rPr>
              <w:t xml:space="preserve">Identifying the reasons for the issues present in the region (assuming it is not only a lack of infrastructure) </w:t>
            </w:r>
          </w:p>
          <w:p w14:paraId="1A7C59DC" w14:textId="4CE9E6E8" w:rsidR="0008508E" w:rsidRPr="00475362" w:rsidRDefault="0008508E" w:rsidP="0008508E">
            <w:pPr>
              <w:pStyle w:val="ListParagraph"/>
              <w:numPr>
                <w:ilvl w:val="0"/>
                <w:numId w:val="24"/>
              </w:numPr>
              <w:spacing w:before="60" w:after="60"/>
              <w:jc w:val="both"/>
              <w:rPr>
                <w:rFonts w:ascii="Arial" w:hAnsi="Arial" w:cs="Arial"/>
              </w:rPr>
            </w:pPr>
            <w:r w:rsidRPr="00475362">
              <w:rPr>
                <w:rFonts w:ascii="Arial" w:hAnsi="Arial" w:cs="Arial"/>
              </w:rPr>
              <w:t>Identifying and removing barriers (e.g. regulation) that could hamper the emergence and relocation</w:t>
            </w:r>
            <w:r w:rsidR="00475362" w:rsidRPr="00475362">
              <w:rPr>
                <w:rFonts w:ascii="Arial" w:hAnsi="Arial" w:cs="Arial"/>
              </w:rPr>
              <w:t xml:space="preserve"> of new business in the region.</w:t>
            </w:r>
          </w:p>
          <w:p w14:paraId="444C1DF5" w14:textId="526097DA" w:rsidR="00475362" w:rsidRPr="00475362" w:rsidRDefault="00475362" w:rsidP="0008508E">
            <w:pPr>
              <w:pStyle w:val="ListParagraph"/>
              <w:numPr>
                <w:ilvl w:val="0"/>
                <w:numId w:val="24"/>
              </w:numPr>
              <w:spacing w:before="60" w:after="60"/>
              <w:jc w:val="both"/>
              <w:rPr>
                <w:rFonts w:ascii="Arial" w:hAnsi="Arial" w:cs="Arial"/>
              </w:rPr>
            </w:pPr>
            <w:r>
              <w:rPr>
                <w:rFonts w:ascii="Arial" w:hAnsi="Arial" w:cs="Arial"/>
                <w:color w:val="202124"/>
                <w:shd w:val="clear" w:color="auto" w:fill="FFFFFF"/>
              </w:rPr>
              <w:t xml:space="preserve">Analysing </w:t>
            </w:r>
            <w:r w:rsidRPr="0008508E">
              <w:rPr>
                <w:rFonts w:ascii="Arial" w:hAnsi="Arial" w:cs="Arial"/>
                <w:color w:val="202124"/>
                <w:shd w:val="clear" w:color="auto" w:fill="FFFFFF"/>
              </w:rPr>
              <w:t>the</w:t>
            </w:r>
            <w:r>
              <w:rPr>
                <w:rFonts w:ascii="Arial" w:hAnsi="Arial" w:cs="Arial"/>
                <w:color w:val="202124"/>
                <w:shd w:val="clear" w:color="auto" w:fill="FFFFFF"/>
              </w:rPr>
              <w:t xml:space="preserve"> potential profiles (age, skills and adaptability) of trainees, the</w:t>
            </w:r>
            <w:r w:rsidRPr="0008508E">
              <w:rPr>
                <w:rFonts w:ascii="Arial" w:hAnsi="Arial" w:cs="Arial"/>
                <w:color w:val="202124"/>
                <w:shd w:val="clear" w:color="auto" w:fill="FFFFFF"/>
              </w:rPr>
              <w:t xml:space="preserve"> </w:t>
            </w:r>
            <w:r>
              <w:rPr>
                <w:rFonts w:ascii="Arial" w:hAnsi="Arial" w:cs="Arial"/>
                <w:color w:val="202124"/>
                <w:shd w:val="clear" w:color="auto" w:fill="FFFFFF"/>
              </w:rPr>
              <w:t>availability of trainers and employment</w:t>
            </w:r>
            <w:r w:rsidRPr="0008508E">
              <w:rPr>
                <w:rFonts w:ascii="Arial" w:hAnsi="Arial" w:cs="Arial"/>
                <w:color w:val="202124"/>
                <w:shd w:val="clear" w:color="auto" w:fill="FFFFFF"/>
              </w:rPr>
              <w:t xml:space="preserve"> opportunities etc. </w:t>
            </w:r>
          </w:p>
          <w:p w14:paraId="53A8E2D4" w14:textId="7F680841" w:rsidR="0008508E" w:rsidRPr="00475362" w:rsidRDefault="0008508E" w:rsidP="0008508E">
            <w:pPr>
              <w:pStyle w:val="ListParagraph"/>
              <w:numPr>
                <w:ilvl w:val="0"/>
                <w:numId w:val="24"/>
              </w:numPr>
              <w:spacing w:before="60" w:after="60"/>
              <w:jc w:val="both"/>
              <w:rPr>
                <w:rFonts w:ascii="Arial" w:hAnsi="Arial" w:cs="Arial"/>
              </w:rPr>
            </w:pPr>
            <w:r w:rsidRPr="00475362">
              <w:rPr>
                <w:rFonts w:ascii="Arial" w:hAnsi="Arial" w:cs="Arial"/>
              </w:rPr>
              <w:t xml:space="preserve">Providing further evidence of its capacity to manage the project </w:t>
            </w:r>
          </w:p>
          <w:p w14:paraId="1458306E" w14:textId="7FFFE754" w:rsidR="00E70C55" w:rsidRPr="0008508E" w:rsidRDefault="00E70C55" w:rsidP="0008508E">
            <w:pPr>
              <w:pStyle w:val="ListParagraph"/>
              <w:spacing w:before="60" w:after="60"/>
              <w:jc w:val="both"/>
              <w:rPr>
                <w:rFonts w:ascii="Arial" w:hAnsi="Arial" w:cs="Arial"/>
                <w:sz w:val="24"/>
                <w:szCs w:val="24"/>
              </w:rPr>
            </w:pPr>
          </w:p>
        </w:tc>
      </w:tr>
    </w:tbl>
    <w:p w14:paraId="308FE424" w14:textId="77777777" w:rsidR="00D902BA" w:rsidRDefault="00D902BA">
      <w:pPr>
        <w:jc w:val="both"/>
        <w:rPr>
          <w:rFonts w:ascii="Arial" w:hAnsi="Arial" w:cs="Arial"/>
          <w:b/>
        </w:rPr>
      </w:pPr>
    </w:p>
    <w:tbl>
      <w:tblPr>
        <w:tblStyle w:val="TableGrid"/>
        <w:tblW w:w="9445" w:type="dxa"/>
        <w:tblLook w:val="04A0" w:firstRow="1" w:lastRow="0" w:firstColumn="1" w:lastColumn="0" w:noHBand="0" w:noVBand="1"/>
      </w:tblPr>
      <w:tblGrid>
        <w:gridCol w:w="9445"/>
      </w:tblGrid>
      <w:tr w:rsidR="007E2230" w:rsidRPr="00C60B6F" w14:paraId="6CA69616" w14:textId="77777777" w:rsidTr="00661CA4">
        <w:tc>
          <w:tcPr>
            <w:tcW w:w="9445" w:type="dxa"/>
            <w:shd w:val="clear" w:color="auto" w:fill="D9D9D9" w:themeFill="background1" w:themeFillShade="D9"/>
          </w:tcPr>
          <w:p w14:paraId="1E8EF054" w14:textId="77777777" w:rsidR="007E2230" w:rsidRPr="007E2230" w:rsidRDefault="007E2230" w:rsidP="007E2230">
            <w:pPr>
              <w:jc w:val="both"/>
              <w:rPr>
                <w:rFonts w:ascii="Arial" w:hAnsi="Arial" w:cs="Arial"/>
                <w:b/>
                <w:sz w:val="24"/>
              </w:rPr>
            </w:pPr>
            <w:r w:rsidRPr="007E2230">
              <w:rPr>
                <w:rFonts w:ascii="Arial" w:hAnsi="Arial" w:cs="Arial"/>
                <w:b/>
                <w:sz w:val="24"/>
              </w:rPr>
              <w:t>JASPERS Remarks on Financing Options</w:t>
            </w:r>
            <w:r>
              <w:rPr>
                <w:rFonts w:ascii="Arial" w:hAnsi="Arial" w:cs="Arial"/>
                <w:b/>
                <w:sz w:val="24"/>
              </w:rPr>
              <w:t xml:space="preserve"> and Project Qualification to JTM Pillars</w:t>
            </w:r>
          </w:p>
        </w:tc>
      </w:tr>
      <w:tr w:rsidR="007E2230" w:rsidRPr="00775571" w14:paraId="4DE26978" w14:textId="77777777" w:rsidTr="00661CA4">
        <w:tc>
          <w:tcPr>
            <w:tcW w:w="9445" w:type="dxa"/>
          </w:tcPr>
          <w:p w14:paraId="1041F861" w14:textId="76595CF7" w:rsidR="007E2230" w:rsidRPr="00475362" w:rsidRDefault="0008508E" w:rsidP="00475362">
            <w:pPr>
              <w:spacing w:before="60" w:after="60"/>
              <w:jc w:val="both"/>
              <w:rPr>
                <w:rFonts w:ascii="Arial" w:hAnsi="Arial" w:cs="Arial"/>
              </w:rPr>
            </w:pPr>
            <w:r w:rsidRPr="00475362">
              <w:rPr>
                <w:rFonts w:ascii="Arial" w:hAnsi="Arial" w:cs="Arial"/>
              </w:rPr>
              <w:t xml:space="preserve">The current project should be eligible under Pillar 1. The promoter has flagged that it may seek funding from Pillars 2 and 3 for the eventual construction of the business park. </w:t>
            </w:r>
          </w:p>
        </w:tc>
      </w:tr>
    </w:tbl>
    <w:p w14:paraId="01F4FE55" w14:textId="77777777" w:rsidR="007E2230" w:rsidRDefault="007E2230">
      <w:pPr>
        <w:jc w:val="both"/>
        <w:rPr>
          <w:rFonts w:ascii="Arial" w:hAnsi="Arial" w:cs="Arial"/>
          <w:b/>
        </w:rPr>
      </w:pPr>
    </w:p>
    <w:p w14:paraId="2ECDBF46" w14:textId="77777777" w:rsidR="007F0941" w:rsidRDefault="007F0941">
      <w:pPr>
        <w:jc w:val="both"/>
        <w:rPr>
          <w:rFonts w:ascii="Arial" w:hAnsi="Arial" w:cs="Arial"/>
          <w:b/>
        </w:rPr>
      </w:pPr>
      <w:bookmarkStart w:id="0" w:name="_GoBack"/>
      <w:bookmarkEnd w:id="0"/>
    </w:p>
    <w:sectPr w:rsidR="007F094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99CA5" w14:textId="77777777" w:rsidR="00E41E54" w:rsidRDefault="00E41E54">
      <w:pPr>
        <w:spacing w:after="0" w:line="240" w:lineRule="auto"/>
      </w:pPr>
      <w:r>
        <w:separator/>
      </w:r>
    </w:p>
  </w:endnote>
  <w:endnote w:type="continuationSeparator" w:id="0">
    <w:p w14:paraId="28AA564F" w14:textId="77777777" w:rsidR="00E41E54" w:rsidRDefault="00E41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43C76" w14:textId="77777777" w:rsidR="00E41E54" w:rsidRDefault="00E41E54">
      <w:pPr>
        <w:spacing w:after="0" w:line="240" w:lineRule="auto"/>
      </w:pPr>
      <w:r>
        <w:separator/>
      </w:r>
    </w:p>
  </w:footnote>
  <w:footnote w:type="continuationSeparator" w:id="0">
    <w:p w14:paraId="1A6F12EA" w14:textId="77777777" w:rsidR="00E41E54" w:rsidRDefault="00E41E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7419C" w14:textId="77777777" w:rsidR="007F0941" w:rsidRDefault="00DD5B0C">
    <w:pPr>
      <w:pStyle w:val="Header"/>
    </w:pPr>
    <w:r>
      <w:rPr>
        <w:noProof/>
        <w:lang w:val="en-US"/>
      </w:rPr>
      <w:drawing>
        <wp:anchor distT="0" distB="0" distL="114300" distR="114300" simplePos="0" relativeHeight="251659264" behindDoc="0" locked="0" layoutInCell="1" allowOverlap="1" wp14:anchorId="0EB13635" wp14:editId="3F7945F4">
          <wp:simplePos x="0" y="0"/>
          <wp:positionH relativeFrom="column">
            <wp:posOffset>5213210</wp:posOffset>
          </wp:positionH>
          <wp:positionV relativeFrom="paragraph">
            <wp:posOffset>-310591</wp:posOffset>
          </wp:positionV>
          <wp:extent cx="1307097" cy="563270"/>
          <wp:effectExtent l="0" t="0" r="7620" b="8255"/>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21034" cy="56927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D1DAE"/>
    <w:multiLevelType w:val="hybridMultilevel"/>
    <w:tmpl w:val="C7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B875E5"/>
    <w:multiLevelType w:val="hybridMultilevel"/>
    <w:tmpl w:val="5CD82EA8"/>
    <w:lvl w:ilvl="0" w:tplc="4ADA1B9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6B744C"/>
    <w:multiLevelType w:val="hybridMultilevel"/>
    <w:tmpl w:val="D5000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6A43B1"/>
    <w:multiLevelType w:val="hybridMultilevel"/>
    <w:tmpl w:val="2A508F88"/>
    <w:lvl w:ilvl="0" w:tplc="31FC111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CD0FB3"/>
    <w:multiLevelType w:val="hybridMultilevel"/>
    <w:tmpl w:val="EA66D5CA"/>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5" w15:restartNumberingAfterBreak="0">
    <w:nsid w:val="228B728D"/>
    <w:multiLevelType w:val="hybridMultilevel"/>
    <w:tmpl w:val="3C9A6BCE"/>
    <w:lvl w:ilvl="0" w:tplc="04090017">
      <w:start w:val="1"/>
      <w:numFmt w:val="lowerLetter"/>
      <w:lvlText w:val="%1)"/>
      <w:lvlJc w:val="left"/>
      <w:pPr>
        <w:ind w:left="704" w:hanging="360"/>
      </w:pPr>
      <w:rPr>
        <w:rFonts w:hint="default"/>
      </w:rPr>
    </w:lvl>
    <w:lvl w:ilvl="1" w:tplc="08090003" w:tentative="1">
      <w:start w:val="1"/>
      <w:numFmt w:val="bullet"/>
      <w:lvlText w:val="o"/>
      <w:lvlJc w:val="left"/>
      <w:pPr>
        <w:ind w:left="1424" w:hanging="360"/>
      </w:pPr>
      <w:rPr>
        <w:rFonts w:ascii="Courier New" w:hAnsi="Courier New" w:cs="Courier New" w:hint="default"/>
      </w:rPr>
    </w:lvl>
    <w:lvl w:ilvl="2" w:tplc="08090005" w:tentative="1">
      <w:start w:val="1"/>
      <w:numFmt w:val="bullet"/>
      <w:lvlText w:val=""/>
      <w:lvlJc w:val="left"/>
      <w:pPr>
        <w:ind w:left="2144" w:hanging="360"/>
      </w:pPr>
      <w:rPr>
        <w:rFonts w:ascii="Wingdings" w:hAnsi="Wingdings" w:hint="default"/>
      </w:rPr>
    </w:lvl>
    <w:lvl w:ilvl="3" w:tplc="08090001" w:tentative="1">
      <w:start w:val="1"/>
      <w:numFmt w:val="bullet"/>
      <w:lvlText w:val=""/>
      <w:lvlJc w:val="left"/>
      <w:pPr>
        <w:ind w:left="2864" w:hanging="360"/>
      </w:pPr>
      <w:rPr>
        <w:rFonts w:ascii="Symbol" w:hAnsi="Symbol" w:hint="default"/>
      </w:rPr>
    </w:lvl>
    <w:lvl w:ilvl="4" w:tplc="08090003" w:tentative="1">
      <w:start w:val="1"/>
      <w:numFmt w:val="bullet"/>
      <w:lvlText w:val="o"/>
      <w:lvlJc w:val="left"/>
      <w:pPr>
        <w:ind w:left="3584" w:hanging="360"/>
      </w:pPr>
      <w:rPr>
        <w:rFonts w:ascii="Courier New" w:hAnsi="Courier New" w:cs="Courier New" w:hint="default"/>
      </w:rPr>
    </w:lvl>
    <w:lvl w:ilvl="5" w:tplc="08090005" w:tentative="1">
      <w:start w:val="1"/>
      <w:numFmt w:val="bullet"/>
      <w:lvlText w:val=""/>
      <w:lvlJc w:val="left"/>
      <w:pPr>
        <w:ind w:left="4304" w:hanging="360"/>
      </w:pPr>
      <w:rPr>
        <w:rFonts w:ascii="Wingdings" w:hAnsi="Wingdings" w:hint="default"/>
      </w:rPr>
    </w:lvl>
    <w:lvl w:ilvl="6" w:tplc="08090001" w:tentative="1">
      <w:start w:val="1"/>
      <w:numFmt w:val="bullet"/>
      <w:lvlText w:val=""/>
      <w:lvlJc w:val="left"/>
      <w:pPr>
        <w:ind w:left="5024" w:hanging="360"/>
      </w:pPr>
      <w:rPr>
        <w:rFonts w:ascii="Symbol" w:hAnsi="Symbol" w:hint="default"/>
      </w:rPr>
    </w:lvl>
    <w:lvl w:ilvl="7" w:tplc="08090003" w:tentative="1">
      <w:start w:val="1"/>
      <w:numFmt w:val="bullet"/>
      <w:lvlText w:val="o"/>
      <w:lvlJc w:val="left"/>
      <w:pPr>
        <w:ind w:left="5744" w:hanging="360"/>
      </w:pPr>
      <w:rPr>
        <w:rFonts w:ascii="Courier New" w:hAnsi="Courier New" w:cs="Courier New" w:hint="default"/>
      </w:rPr>
    </w:lvl>
    <w:lvl w:ilvl="8" w:tplc="08090005" w:tentative="1">
      <w:start w:val="1"/>
      <w:numFmt w:val="bullet"/>
      <w:lvlText w:val=""/>
      <w:lvlJc w:val="left"/>
      <w:pPr>
        <w:ind w:left="6464" w:hanging="360"/>
      </w:pPr>
      <w:rPr>
        <w:rFonts w:ascii="Wingdings" w:hAnsi="Wingdings" w:hint="default"/>
      </w:rPr>
    </w:lvl>
  </w:abstractNum>
  <w:abstractNum w:abstractNumId="6" w15:restartNumberingAfterBreak="0">
    <w:nsid w:val="234D66C3"/>
    <w:multiLevelType w:val="hybridMultilevel"/>
    <w:tmpl w:val="4B509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506F69"/>
    <w:multiLevelType w:val="hybridMultilevel"/>
    <w:tmpl w:val="DDDCF3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F16F96"/>
    <w:multiLevelType w:val="hybridMultilevel"/>
    <w:tmpl w:val="C37C17CA"/>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9583DD8"/>
    <w:multiLevelType w:val="hybridMultilevel"/>
    <w:tmpl w:val="C7185A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0B4713"/>
    <w:multiLevelType w:val="hybridMultilevel"/>
    <w:tmpl w:val="B1849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4266A6"/>
    <w:multiLevelType w:val="hybridMultilevel"/>
    <w:tmpl w:val="BCB024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CA61CF"/>
    <w:multiLevelType w:val="hybridMultilevel"/>
    <w:tmpl w:val="221859B4"/>
    <w:lvl w:ilvl="0" w:tplc="B4103B0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056E31"/>
    <w:multiLevelType w:val="hybridMultilevel"/>
    <w:tmpl w:val="3C82D3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D44120"/>
    <w:multiLevelType w:val="hybridMultilevel"/>
    <w:tmpl w:val="F31894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25E4D5F"/>
    <w:multiLevelType w:val="hybridMultilevel"/>
    <w:tmpl w:val="FF1EADA4"/>
    <w:lvl w:ilvl="0" w:tplc="B4103B0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A65424"/>
    <w:multiLevelType w:val="hybridMultilevel"/>
    <w:tmpl w:val="4BD244A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4103D7"/>
    <w:multiLevelType w:val="hybridMultilevel"/>
    <w:tmpl w:val="51C8FFC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4AC7F3B"/>
    <w:multiLevelType w:val="hybridMultilevel"/>
    <w:tmpl w:val="A22C20C8"/>
    <w:lvl w:ilvl="0" w:tplc="FCCA658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F835CD"/>
    <w:multiLevelType w:val="hybridMultilevel"/>
    <w:tmpl w:val="6032F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284A44"/>
    <w:multiLevelType w:val="hybridMultilevel"/>
    <w:tmpl w:val="652842D8"/>
    <w:lvl w:ilvl="0" w:tplc="040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5A5846"/>
    <w:multiLevelType w:val="multilevel"/>
    <w:tmpl w:val="78AA7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C60234"/>
    <w:multiLevelType w:val="hybridMultilevel"/>
    <w:tmpl w:val="B98E1982"/>
    <w:lvl w:ilvl="0" w:tplc="4C12C360">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366D63"/>
    <w:multiLevelType w:val="hybridMultilevel"/>
    <w:tmpl w:val="CFA4717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B5974FF"/>
    <w:multiLevelType w:val="hybridMultilevel"/>
    <w:tmpl w:val="36608E06"/>
    <w:lvl w:ilvl="0" w:tplc="05002A90">
      <w:start w:val="1"/>
      <w:numFmt w:val="decimal"/>
      <w:lvlText w:val="%1."/>
      <w:lvlJc w:val="left"/>
      <w:pPr>
        <w:ind w:left="720" w:hanging="360"/>
      </w:pPr>
      <w:rPr>
        <w:b w:val="0"/>
        <w:i w:val="0"/>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771076C4"/>
    <w:multiLevelType w:val="hybridMultilevel"/>
    <w:tmpl w:val="1A5EE0A4"/>
    <w:lvl w:ilvl="0" w:tplc="B4103B0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3A2738"/>
    <w:multiLevelType w:val="hybridMultilevel"/>
    <w:tmpl w:val="73CE0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7935D3"/>
    <w:multiLevelType w:val="hybridMultilevel"/>
    <w:tmpl w:val="4EEAC0D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21"/>
  </w:num>
  <w:num w:numId="3">
    <w:abstractNumId w:val="10"/>
  </w:num>
  <w:num w:numId="4">
    <w:abstractNumId w:val="18"/>
  </w:num>
  <w:num w:numId="5">
    <w:abstractNumId w:val="20"/>
  </w:num>
  <w:num w:numId="6">
    <w:abstractNumId w:val="1"/>
  </w:num>
  <w:num w:numId="7">
    <w:abstractNumId w:val="14"/>
  </w:num>
  <w:num w:numId="8">
    <w:abstractNumId w:val="8"/>
  </w:num>
  <w:num w:numId="9">
    <w:abstractNumId w:val="17"/>
  </w:num>
  <w:num w:numId="10">
    <w:abstractNumId w:val="15"/>
  </w:num>
  <w:num w:numId="11">
    <w:abstractNumId w:val="12"/>
  </w:num>
  <w:num w:numId="12">
    <w:abstractNumId w:val="6"/>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
  </w:num>
  <w:num w:numId="16">
    <w:abstractNumId w:val="11"/>
  </w:num>
  <w:num w:numId="17">
    <w:abstractNumId w:val="0"/>
  </w:num>
  <w:num w:numId="18">
    <w:abstractNumId w:val="9"/>
  </w:num>
  <w:num w:numId="19">
    <w:abstractNumId w:val="13"/>
  </w:num>
  <w:num w:numId="20">
    <w:abstractNumId w:val="25"/>
  </w:num>
  <w:num w:numId="21">
    <w:abstractNumId w:val="4"/>
  </w:num>
  <w:num w:numId="22">
    <w:abstractNumId w:val="23"/>
  </w:num>
  <w:num w:numId="23">
    <w:abstractNumId w:val="27"/>
  </w:num>
  <w:num w:numId="24">
    <w:abstractNumId w:val="22"/>
  </w:num>
  <w:num w:numId="25">
    <w:abstractNumId w:val="3"/>
  </w:num>
  <w:num w:numId="26">
    <w:abstractNumId w:val="16"/>
  </w:num>
  <w:num w:numId="27">
    <w:abstractNumId w:val="7"/>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cwMDC3NLcwMTc3MTRQ0lEKTi0uzszPAykwNKkFAHrlJNotAAAA"/>
  </w:docVars>
  <w:rsids>
    <w:rsidRoot w:val="00E52DD8"/>
    <w:rsid w:val="00014B94"/>
    <w:rsid w:val="000165DC"/>
    <w:rsid w:val="00030CCE"/>
    <w:rsid w:val="000321F9"/>
    <w:rsid w:val="000358E2"/>
    <w:rsid w:val="00040285"/>
    <w:rsid w:val="00052B12"/>
    <w:rsid w:val="00053724"/>
    <w:rsid w:val="00066A5B"/>
    <w:rsid w:val="00082678"/>
    <w:rsid w:val="0008508E"/>
    <w:rsid w:val="00093B19"/>
    <w:rsid w:val="000A3560"/>
    <w:rsid w:val="000A61CC"/>
    <w:rsid w:val="000B1470"/>
    <w:rsid w:val="000B3587"/>
    <w:rsid w:val="000B5EAA"/>
    <w:rsid w:val="000D0289"/>
    <w:rsid w:val="000D1B2C"/>
    <w:rsid w:val="000D2ABA"/>
    <w:rsid w:val="000D598B"/>
    <w:rsid w:val="000E38EA"/>
    <w:rsid w:val="000F45BC"/>
    <w:rsid w:val="001143D2"/>
    <w:rsid w:val="001150DB"/>
    <w:rsid w:val="00124CC9"/>
    <w:rsid w:val="00141BEC"/>
    <w:rsid w:val="001425AC"/>
    <w:rsid w:val="00145093"/>
    <w:rsid w:val="00145C93"/>
    <w:rsid w:val="001566A9"/>
    <w:rsid w:val="00163323"/>
    <w:rsid w:val="00163C8D"/>
    <w:rsid w:val="00170073"/>
    <w:rsid w:val="0018670E"/>
    <w:rsid w:val="0019207D"/>
    <w:rsid w:val="001A6A7F"/>
    <w:rsid w:val="001A748A"/>
    <w:rsid w:val="001A774D"/>
    <w:rsid w:val="001E1871"/>
    <w:rsid w:val="001F668F"/>
    <w:rsid w:val="00205309"/>
    <w:rsid w:val="00216712"/>
    <w:rsid w:val="002231F7"/>
    <w:rsid w:val="002300BB"/>
    <w:rsid w:val="00232DE2"/>
    <w:rsid w:val="00245E7E"/>
    <w:rsid w:val="002505B8"/>
    <w:rsid w:val="002524E7"/>
    <w:rsid w:val="00256D89"/>
    <w:rsid w:val="00264865"/>
    <w:rsid w:val="002651AE"/>
    <w:rsid w:val="00270ED9"/>
    <w:rsid w:val="00276E48"/>
    <w:rsid w:val="00283AE7"/>
    <w:rsid w:val="0029017D"/>
    <w:rsid w:val="00294857"/>
    <w:rsid w:val="002B75E3"/>
    <w:rsid w:val="002C0917"/>
    <w:rsid w:val="002C337C"/>
    <w:rsid w:val="002C4A0C"/>
    <w:rsid w:val="002D526E"/>
    <w:rsid w:val="002E0CDD"/>
    <w:rsid w:val="002E0E8C"/>
    <w:rsid w:val="002F3940"/>
    <w:rsid w:val="00307E63"/>
    <w:rsid w:val="00311EA5"/>
    <w:rsid w:val="00336D3B"/>
    <w:rsid w:val="00361343"/>
    <w:rsid w:val="00373506"/>
    <w:rsid w:val="0037362F"/>
    <w:rsid w:val="00376B27"/>
    <w:rsid w:val="003856A9"/>
    <w:rsid w:val="00386131"/>
    <w:rsid w:val="00391B11"/>
    <w:rsid w:val="00393033"/>
    <w:rsid w:val="003960EB"/>
    <w:rsid w:val="0039789E"/>
    <w:rsid w:val="003A1DA5"/>
    <w:rsid w:val="003B7885"/>
    <w:rsid w:val="003C3617"/>
    <w:rsid w:val="003C6917"/>
    <w:rsid w:val="003D0348"/>
    <w:rsid w:val="003D263A"/>
    <w:rsid w:val="003E251B"/>
    <w:rsid w:val="004034DF"/>
    <w:rsid w:val="00411CD4"/>
    <w:rsid w:val="00415C35"/>
    <w:rsid w:val="00417A25"/>
    <w:rsid w:val="004244DE"/>
    <w:rsid w:val="004250A9"/>
    <w:rsid w:val="0043186E"/>
    <w:rsid w:val="00436A46"/>
    <w:rsid w:val="00445534"/>
    <w:rsid w:val="0044583B"/>
    <w:rsid w:val="00475362"/>
    <w:rsid w:val="004763CF"/>
    <w:rsid w:val="00481BCA"/>
    <w:rsid w:val="004874F0"/>
    <w:rsid w:val="00491BDE"/>
    <w:rsid w:val="004A2DA4"/>
    <w:rsid w:val="004A5434"/>
    <w:rsid w:val="004B33B6"/>
    <w:rsid w:val="004E10FB"/>
    <w:rsid w:val="004E4547"/>
    <w:rsid w:val="004F580B"/>
    <w:rsid w:val="00505D43"/>
    <w:rsid w:val="00506BF3"/>
    <w:rsid w:val="00516DD3"/>
    <w:rsid w:val="005211B7"/>
    <w:rsid w:val="005271AC"/>
    <w:rsid w:val="00535F48"/>
    <w:rsid w:val="00541CAA"/>
    <w:rsid w:val="00545916"/>
    <w:rsid w:val="0054620D"/>
    <w:rsid w:val="005506F2"/>
    <w:rsid w:val="00554180"/>
    <w:rsid w:val="00555A7E"/>
    <w:rsid w:val="00555EE6"/>
    <w:rsid w:val="005655A8"/>
    <w:rsid w:val="005719C9"/>
    <w:rsid w:val="005850FA"/>
    <w:rsid w:val="005858AE"/>
    <w:rsid w:val="005937FA"/>
    <w:rsid w:val="00597F5A"/>
    <w:rsid w:val="005A3648"/>
    <w:rsid w:val="005A4E08"/>
    <w:rsid w:val="005B08F6"/>
    <w:rsid w:val="005B0ED8"/>
    <w:rsid w:val="005B28D2"/>
    <w:rsid w:val="005B5642"/>
    <w:rsid w:val="005C2906"/>
    <w:rsid w:val="005C3F1C"/>
    <w:rsid w:val="005C41BE"/>
    <w:rsid w:val="005C5CFB"/>
    <w:rsid w:val="005E042A"/>
    <w:rsid w:val="005E25A3"/>
    <w:rsid w:val="005E3E13"/>
    <w:rsid w:val="005F3400"/>
    <w:rsid w:val="005F3A29"/>
    <w:rsid w:val="00613792"/>
    <w:rsid w:val="00635CE6"/>
    <w:rsid w:val="00643D4B"/>
    <w:rsid w:val="00654120"/>
    <w:rsid w:val="00661CA4"/>
    <w:rsid w:val="00662CCE"/>
    <w:rsid w:val="0069602F"/>
    <w:rsid w:val="006A3CBD"/>
    <w:rsid w:val="006B57D0"/>
    <w:rsid w:val="006C5945"/>
    <w:rsid w:val="006D49AB"/>
    <w:rsid w:val="006D4C42"/>
    <w:rsid w:val="006D7464"/>
    <w:rsid w:val="006E47C3"/>
    <w:rsid w:val="006F00A5"/>
    <w:rsid w:val="006F20B3"/>
    <w:rsid w:val="006F6470"/>
    <w:rsid w:val="0071007F"/>
    <w:rsid w:val="00713DA1"/>
    <w:rsid w:val="00722C83"/>
    <w:rsid w:val="00740B8A"/>
    <w:rsid w:val="00745F5A"/>
    <w:rsid w:val="00746A01"/>
    <w:rsid w:val="007545A4"/>
    <w:rsid w:val="00765008"/>
    <w:rsid w:val="00766A1D"/>
    <w:rsid w:val="00776FA3"/>
    <w:rsid w:val="00781876"/>
    <w:rsid w:val="007820A5"/>
    <w:rsid w:val="00794FF9"/>
    <w:rsid w:val="00795636"/>
    <w:rsid w:val="00797C05"/>
    <w:rsid w:val="007A1186"/>
    <w:rsid w:val="007A2A11"/>
    <w:rsid w:val="007A4EF7"/>
    <w:rsid w:val="007D45D4"/>
    <w:rsid w:val="007E0C74"/>
    <w:rsid w:val="007E2230"/>
    <w:rsid w:val="007E6C74"/>
    <w:rsid w:val="007F0941"/>
    <w:rsid w:val="007F2832"/>
    <w:rsid w:val="00806399"/>
    <w:rsid w:val="00810253"/>
    <w:rsid w:val="0081275F"/>
    <w:rsid w:val="00821E87"/>
    <w:rsid w:val="00825E52"/>
    <w:rsid w:val="00826FE8"/>
    <w:rsid w:val="00835F51"/>
    <w:rsid w:val="00842E99"/>
    <w:rsid w:val="00844B82"/>
    <w:rsid w:val="008759EA"/>
    <w:rsid w:val="00875F52"/>
    <w:rsid w:val="00877AB8"/>
    <w:rsid w:val="00885C10"/>
    <w:rsid w:val="00887802"/>
    <w:rsid w:val="0089652A"/>
    <w:rsid w:val="008A0438"/>
    <w:rsid w:val="008A3687"/>
    <w:rsid w:val="008A3FFD"/>
    <w:rsid w:val="008B399F"/>
    <w:rsid w:val="008B470F"/>
    <w:rsid w:val="008C1145"/>
    <w:rsid w:val="008C5A9A"/>
    <w:rsid w:val="008D0A35"/>
    <w:rsid w:val="008E08FA"/>
    <w:rsid w:val="008E0B4A"/>
    <w:rsid w:val="008E3FB2"/>
    <w:rsid w:val="008F271E"/>
    <w:rsid w:val="008F45C2"/>
    <w:rsid w:val="00903C1D"/>
    <w:rsid w:val="0090543C"/>
    <w:rsid w:val="00911942"/>
    <w:rsid w:val="00911F36"/>
    <w:rsid w:val="00913689"/>
    <w:rsid w:val="009204EC"/>
    <w:rsid w:val="009317EA"/>
    <w:rsid w:val="00953136"/>
    <w:rsid w:val="00962EE5"/>
    <w:rsid w:val="00970DD6"/>
    <w:rsid w:val="00971BE9"/>
    <w:rsid w:val="00983B48"/>
    <w:rsid w:val="0099274B"/>
    <w:rsid w:val="00994513"/>
    <w:rsid w:val="009A0190"/>
    <w:rsid w:val="009A2382"/>
    <w:rsid w:val="009B1938"/>
    <w:rsid w:val="009B37C2"/>
    <w:rsid w:val="009B6256"/>
    <w:rsid w:val="009C387E"/>
    <w:rsid w:val="009D17A7"/>
    <w:rsid w:val="009E2181"/>
    <w:rsid w:val="009E4F80"/>
    <w:rsid w:val="00A458C1"/>
    <w:rsid w:val="00A56936"/>
    <w:rsid w:val="00A61B23"/>
    <w:rsid w:val="00A70278"/>
    <w:rsid w:val="00A919E2"/>
    <w:rsid w:val="00AA7927"/>
    <w:rsid w:val="00AB27E7"/>
    <w:rsid w:val="00AC30DF"/>
    <w:rsid w:val="00AC34C7"/>
    <w:rsid w:val="00AC6189"/>
    <w:rsid w:val="00AC6BDF"/>
    <w:rsid w:val="00AE0502"/>
    <w:rsid w:val="00AE78F1"/>
    <w:rsid w:val="00AF589F"/>
    <w:rsid w:val="00B0299F"/>
    <w:rsid w:val="00B07D15"/>
    <w:rsid w:val="00B413D5"/>
    <w:rsid w:val="00B421FE"/>
    <w:rsid w:val="00B53A71"/>
    <w:rsid w:val="00B53C96"/>
    <w:rsid w:val="00B61444"/>
    <w:rsid w:val="00B626D0"/>
    <w:rsid w:val="00B64768"/>
    <w:rsid w:val="00B66D6A"/>
    <w:rsid w:val="00B679A1"/>
    <w:rsid w:val="00B728BD"/>
    <w:rsid w:val="00B73E51"/>
    <w:rsid w:val="00B74ECC"/>
    <w:rsid w:val="00B759DB"/>
    <w:rsid w:val="00B829A4"/>
    <w:rsid w:val="00B92943"/>
    <w:rsid w:val="00B956C1"/>
    <w:rsid w:val="00BA34D2"/>
    <w:rsid w:val="00BB3A9C"/>
    <w:rsid w:val="00BB6BA4"/>
    <w:rsid w:val="00BB7A8F"/>
    <w:rsid w:val="00BC3000"/>
    <w:rsid w:val="00BC49C1"/>
    <w:rsid w:val="00BE5331"/>
    <w:rsid w:val="00BF5D07"/>
    <w:rsid w:val="00C106CE"/>
    <w:rsid w:val="00C14D83"/>
    <w:rsid w:val="00C16EE3"/>
    <w:rsid w:val="00C17318"/>
    <w:rsid w:val="00C25026"/>
    <w:rsid w:val="00C2531C"/>
    <w:rsid w:val="00C300DE"/>
    <w:rsid w:val="00C326BE"/>
    <w:rsid w:val="00C34BE9"/>
    <w:rsid w:val="00C40B69"/>
    <w:rsid w:val="00C4392E"/>
    <w:rsid w:val="00C513F4"/>
    <w:rsid w:val="00C63433"/>
    <w:rsid w:val="00C713F7"/>
    <w:rsid w:val="00C772FB"/>
    <w:rsid w:val="00C874A9"/>
    <w:rsid w:val="00CA1495"/>
    <w:rsid w:val="00CA5DCA"/>
    <w:rsid w:val="00CA5EF6"/>
    <w:rsid w:val="00CB1401"/>
    <w:rsid w:val="00CB4BEF"/>
    <w:rsid w:val="00CC1390"/>
    <w:rsid w:val="00CC2031"/>
    <w:rsid w:val="00CC3B18"/>
    <w:rsid w:val="00CD1FB1"/>
    <w:rsid w:val="00CD5B57"/>
    <w:rsid w:val="00CD7812"/>
    <w:rsid w:val="00CE0513"/>
    <w:rsid w:val="00CE5B9D"/>
    <w:rsid w:val="00CF1FCB"/>
    <w:rsid w:val="00D019A1"/>
    <w:rsid w:val="00D02C37"/>
    <w:rsid w:val="00D15B89"/>
    <w:rsid w:val="00D15BF0"/>
    <w:rsid w:val="00D31BE5"/>
    <w:rsid w:val="00D338D1"/>
    <w:rsid w:val="00D50B9A"/>
    <w:rsid w:val="00D51424"/>
    <w:rsid w:val="00D723CA"/>
    <w:rsid w:val="00D84430"/>
    <w:rsid w:val="00D902BA"/>
    <w:rsid w:val="00D97A80"/>
    <w:rsid w:val="00DB030A"/>
    <w:rsid w:val="00DC3CA3"/>
    <w:rsid w:val="00DD458F"/>
    <w:rsid w:val="00DD5061"/>
    <w:rsid w:val="00DD5B0C"/>
    <w:rsid w:val="00DE2ACA"/>
    <w:rsid w:val="00DF3C36"/>
    <w:rsid w:val="00DF4500"/>
    <w:rsid w:val="00E03B7E"/>
    <w:rsid w:val="00E06A89"/>
    <w:rsid w:val="00E0700D"/>
    <w:rsid w:val="00E20B94"/>
    <w:rsid w:val="00E27EF0"/>
    <w:rsid w:val="00E3489E"/>
    <w:rsid w:val="00E41BB8"/>
    <w:rsid w:val="00E41E54"/>
    <w:rsid w:val="00E42116"/>
    <w:rsid w:val="00E52DD8"/>
    <w:rsid w:val="00E54ED1"/>
    <w:rsid w:val="00E70C55"/>
    <w:rsid w:val="00E74BC8"/>
    <w:rsid w:val="00E8085B"/>
    <w:rsid w:val="00E90F18"/>
    <w:rsid w:val="00EA32B4"/>
    <w:rsid w:val="00EA36C7"/>
    <w:rsid w:val="00EB2F29"/>
    <w:rsid w:val="00EC5463"/>
    <w:rsid w:val="00EC6179"/>
    <w:rsid w:val="00EC76DE"/>
    <w:rsid w:val="00ED3D80"/>
    <w:rsid w:val="00ED67C8"/>
    <w:rsid w:val="00EE4D96"/>
    <w:rsid w:val="00F10EDC"/>
    <w:rsid w:val="00F16543"/>
    <w:rsid w:val="00F54CF7"/>
    <w:rsid w:val="00F55A88"/>
    <w:rsid w:val="00F64E0F"/>
    <w:rsid w:val="00F650A7"/>
    <w:rsid w:val="00F7293D"/>
    <w:rsid w:val="00F72D4D"/>
    <w:rsid w:val="00F774CC"/>
    <w:rsid w:val="00F8173A"/>
    <w:rsid w:val="00F8325E"/>
    <w:rsid w:val="00F914C1"/>
    <w:rsid w:val="00FB0EFD"/>
    <w:rsid w:val="00FB2AF0"/>
    <w:rsid w:val="00FC6E0E"/>
    <w:rsid w:val="00FF54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6CA00"/>
  <w15:chartTrackingRefBased/>
  <w15:docId w15:val="{5E8AA43B-0153-4150-83E7-B9A6DA1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ADB Normal,Liste Paragraf,Colorful List - Accent 11,PDP DOCUMENT SUBTITLE,Liststycke SKL,Normal bullet 2,Bullet list,Table of contents numbered,En tête 1,Foot note,Paragraphe de liste PBLH"/>
    <w:basedOn w:val="Normal"/>
    <w:link w:val="ListParagraphChar"/>
    <w:uiPriority w:val="34"/>
    <w:qFormat/>
    <w:rsid w:val="00DB030A"/>
    <w:pPr>
      <w:ind w:left="720"/>
      <w:contextualSpacing/>
    </w:pPr>
  </w:style>
  <w:style w:type="paragraph" w:customStyle="1" w:styleId="Default">
    <w:name w:val="Default"/>
    <w:rsid w:val="00CA1495"/>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CA1495"/>
    <w:rPr>
      <w:b/>
      <w:bCs/>
    </w:rPr>
  </w:style>
  <w:style w:type="paragraph" w:styleId="NormalWeb">
    <w:name w:val="Normal (Web)"/>
    <w:basedOn w:val="Normal"/>
    <w:uiPriority w:val="99"/>
    <w:semiHidden/>
    <w:unhideWhenUsed/>
    <w:rsid w:val="00CA1495"/>
    <w:pPr>
      <w:spacing w:before="90" w:after="90" w:line="384" w:lineRule="atLeast"/>
      <w:ind w:left="120" w:right="120"/>
    </w:pPr>
    <w:rPr>
      <w:rFonts w:ascii="Times New Roman" w:eastAsia="Times New Roman" w:hAnsi="Times New Roman" w:cs="Times New Roman"/>
      <w:sz w:val="26"/>
      <w:szCs w:val="26"/>
      <w:lang w:eastAsia="en-GB"/>
    </w:rPr>
  </w:style>
  <w:style w:type="table" w:styleId="TableGrid">
    <w:name w:val="Table Grid"/>
    <w:basedOn w:val="TableNormal"/>
    <w:uiPriority w:val="39"/>
    <w:rsid w:val="00AC3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053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5309"/>
    <w:rPr>
      <w:rFonts w:ascii="Segoe UI" w:hAnsi="Segoe UI" w:cs="Segoe UI"/>
      <w:sz w:val="18"/>
      <w:szCs w:val="18"/>
    </w:rPr>
  </w:style>
  <w:style w:type="character" w:customStyle="1" w:styleId="ListParagraphChar">
    <w:name w:val="List Paragraph Char"/>
    <w:aliases w:val="List_Paragraph Char,Multilevel para_II Char,ADB Normal Char,Liste Paragraf Char,Colorful List - Accent 11 Char,PDP DOCUMENT SUBTITLE Char,Liststycke SKL Char,Normal bullet 2 Char,Bullet list Char,Table of contents numbered Char"/>
    <w:basedOn w:val="DefaultParagraphFont"/>
    <w:link w:val="ListParagraph"/>
    <w:uiPriority w:val="34"/>
    <w:qFormat/>
    <w:locked/>
    <w:rsid w:val="000165DC"/>
  </w:style>
  <w:style w:type="character" w:styleId="CommentReference">
    <w:name w:val="annotation reference"/>
    <w:basedOn w:val="DefaultParagraphFont"/>
    <w:uiPriority w:val="99"/>
    <w:semiHidden/>
    <w:unhideWhenUsed/>
    <w:rsid w:val="005211B7"/>
    <w:rPr>
      <w:sz w:val="16"/>
      <w:szCs w:val="16"/>
    </w:rPr>
  </w:style>
  <w:style w:type="paragraph" w:styleId="CommentText">
    <w:name w:val="annotation text"/>
    <w:basedOn w:val="Normal"/>
    <w:link w:val="CommentTextChar"/>
    <w:uiPriority w:val="99"/>
    <w:semiHidden/>
    <w:unhideWhenUsed/>
    <w:rsid w:val="005211B7"/>
    <w:pPr>
      <w:spacing w:line="240" w:lineRule="auto"/>
    </w:pPr>
    <w:rPr>
      <w:sz w:val="20"/>
      <w:szCs w:val="20"/>
    </w:rPr>
  </w:style>
  <w:style w:type="character" w:customStyle="1" w:styleId="CommentTextChar">
    <w:name w:val="Comment Text Char"/>
    <w:basedOn w:val="DefaultParagraphFont"/>
    <w:link w:val="CommentText"/>
    <w:uiPriority w:val="99"/>
    <w:semiHidden/>
    <w:rsid w:val="005211B7"/>
    <w:rPr>
      <w:sz w:val="20"/>
      <w:szCs w:val="20"/>
    </w:rPr>
  </w:style>
  <w:style w:type="paragraph" w:styleId="CommentSubject">
    <w:name w:val="annotation subject"/>
    <w:basedOn w:val="CommentText"/>
    <w:next w:val="CommentText"/>
    <w:link w:val="CommentSubjectChar"/>
    <w:uiPriority w:val="99"/>
    <w:semiHidden/>
    <w:unhideWhenUsed/>
    <w:rsid w:val="005211B7"/>
    <w:rPr>
      <w:b/>
      <w:bCs/>
    </w:rPr>
  </w:style>
  <w:style w:type="character" w:customStyle="1" w:styleId="CommentSubjectChar">
    <w:name w:val="Comment Subject Char"/>
    <w:basedOn w:val="CommentTextChar"/>
    <w:link w:val="CommentSubject"/>
    <w:uiPriority w:val="99"/>
    <w:semiHidden/>
    <w:rsid w:val="005211B7"/>
    <w:rPr>
      <w:b/>
      <w:bCs/>
      <w:sz w:val="20"/>
      <w:szCs w:val="20"/>
    </w:rPr>
  </w:style>
  <w:style w:type="paragraph" w:styleId="Header">
    <w:name w:val="header"/>
    <w:basedOn w:val="Normal"/>
    <w:link w:val="HeaderChar"/>
    <w:uiPriority w:val="99"/>
    <w:unhideWhenUsed/>
    <w:rsid w:val="001F66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68F"/>
  </w:style>
  <w:style w:type="paragraph" w:styleId="Footer">
    <w:name w:val="footer"/>
    <w:basedOn w:val="Normal"/>
    <w:link w:val="FooterChar"/>
    <w:uiPriority w:val="99"/>
    <w:unhideWhenUsed/>
    <w:rsid w:val="001F66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68F"/>
  </w:style>
  <w:style w:type="character" w:customStyle="1" w:styleId="Bodytext26ptBold">
    <w:name w:val="Body text|2 + 6 pt;Bold"/>
    <w:basedOn w:val="DefaultParagraphFont"/>
    <w:semiHidden/>
    <w:unhideWhenUsed/>
    <w:rsid w:val="006E47C3"/>
    <w:rPr>
      <w:rFonts w:ascii="Arial" w:eastAsia="Arial" w:hAnsi="Arial" w:cs="Arial"/>
      <w:b/>
      <w:bCs/>
      <w:i w:val="0"/>
      <w:iCs w:val="0"/>
      <w:smallCaps w:val="0"/>
      <w:strike w:val="0"/>
      <w:color w:val="000000"/>
      <w:spacing w:val="0"/>
      <w:w w:val="100"/>
      <w:position w:val="0"/>
      <w:sz w:val="12"/>
      <w:szCs w:val="12"/>
      <w:u w:val="none"/>
      <w:lang w:val="en" w:eastAsia="cs-CZ" w:bidi="cs-CZ"/>
    </w:rPr>
  </w:style>
  <w:style w:type="character" w:customStyle="1" w:styleId="Bodytext26pt">
    <w:name w:val="Body text|2 + 6 pt"/>
    <w:basedOn w:val="DefaultParagraphFont"/>
    <w:semiHidden/>
    <w:unhideWhenUsed/>
    <w:rsid w:val="006E47C3"/>
    <w:rPr>
      <w:rFonts w:ascii="Arial" w:eastAsia="Arial" w:hAnsi="Arial" w:cs="Arial"/>
      <w:b w:val="0"/>
      <w:bCs w:val="0"/>
      <w:i w:val="0"/>
      <w:iCs w:val="0"/>
      <w:smallCaps w:val="0"/>
      <w:strike w:val="0"/>
      <w:color w:val="000000"/>
      <w:spacing w:val="0"/>
      <w:w w:val="100"/>
      <w:position w:val="0"/>
      <w:sz w:val="12"/>
      <w:szCs w:val="12"/>
      <w:u w:val="none"/>
      <w:lang w:val="en" w:eastAsia="cs-CZ" w:bidi="cs-CZ"/>
    </w:rPr>
  </w:style>
  <w:style w:type="paragraph" w:styleId="FootnoteText">
    <w:name w:val="footnote text"/>
    <w:basedOn w:val="Normal"/>
    <w:link w:val="FootnoteTextChar"/>
    <w:uiPriority w:val="99"/>
    <w:semiHidden/>
    <w:unhideWhenUsed/>
    <w:rsid w:val="00B728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28BD"/>
    <w:rPr>
      <w:sz w:val="20"/>
      <w:szCs w:val="20"/>
    </w:rPr>
  </w:style>
  <w:style w:type="character" w:styleId="FootnoteReference">
    <w:name w:val="footnote reference"/>
    <w:basedOn w:val="DefaultParagraphFont"/>
    <w:uiPriority w:val="99"/>
    <w:semiHidden/>
    <w:unhideWhenUsed/>
    <w:rsid w:val="00B728BD"/>
    <w:rPr>
      <w:vertAlign w:val="superscript"/>
    </w:rPr>
  </w:style>
  <w:style w:type="character" w:customStyle="1" w:styleId="Bodytext2">
    <w:name w:val="Body text|2_"/>
    <w:basedOn w:val="DefaultParagraphFont"/>
    <w:link w:val="Bodytext20"/>
    <w:rsid w:val="00B728BD"/>
    <w:rPr>
      <w:rFonts w:ascii="Arial" w:eastAsia="Arial" w:hAnsi="Arial" w:cs="Arial"/>
      <w:sz w:val="13"/>
      <w:szCs w:val="13"/>
      <w:shd w:val="clear" w:color="auto" w:fill="FFFFFF"/>
    </w:rPr>
  </w:style>
  <w:style w:type="paragraph" w:customStyle="1" w:styleId="Bodytext20">
    <w:name w:val="Body text|2"/>
    <w:basedOn w:val="Normal"/>
    <w:link w:val="Bodytext2"/>
    <w:qFormat/>
    <w:rsid w:val="00B728BD"/>
    <w:pPr>
      <w:widowControl w:val="0"/>
      <w:shd w:val="clear" w:color="auto" w:fill="FFFFFF"/>
      <w:spacing w:after="0" w:line="146" w:lineRule="exact"/>
    </w:pPr>
    <w:rPr>
      <w:rFonts w:ascii="Arial" w:eastAsia="Arial" w:hAnsi="Arial" w:cs="Arial"/>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84874">
      <w:bodyDiv w:val="1"/>
      <w:marLeft w:val="0"/>
      <w:marRight w:val="0"/>
      <w:marTop w:val="0"/>
      <w:marBottom w:val="0"/>
      <w:divBdr>
        <w:top w:val="none" w:sz="0" w:space="0" w:color="auto"/>
        <w:left w:val="none" w:sz="0" w:space="0" w:color="auto"/>
        <w:bottom w:val="none" w:sz="0" w:space="0" w:color="auto"/>
        <w:right w:val="none" w:sz="0" w:space="0" w:color="auto"/>
      </w:divBdr>
    </w:div>
    <w:div w:id="768738097">
      <w:bodyDiv w:val="1"/>
      <w:marLeft w:val="0"/>
      <w:marRight w:val="0"/>
      <w:marTop w:val="0"/>
      <w:marBottom w:val="0"/>
      <w:divBdr>
        <w:top w:val="none" w:sz="0" w:space="0" w:color="auto"/>
        <w:left w:val="none" w:sz="0" w:space="0" w:color="auto"/>
        <w:bottom w:val="none" w:sz="0" w:space="0" w:color="auto"/>
        <w:right w:val="none" w:sz="0" w:space="0" w:color="auto"/>
      </w:divBdr>
      <w:divsChild>
        <w:div w:id="1234781976">
          <w:marLeft w:val="0"/>
          <w:marRight w:val="0"/>
          <w:marTop w:val="0"/>
          <w:marBottom w:val="0"/>
          <w:divBdr>
            <w:top w:val="none" w:sz="0" w:space="0" w:color="auto"/>
            <w:left w:val="none" w:sz="0" w:space="0" w:color="auto"/>
            <w:bottom w:val="none" w:sz="0" w:space="0" w:color="auto"/>
            <w:right w:val="none" w:sz="0" w:space="0" w:color="auto"/>
          </w:divBdr>
          <w:divsChild>
            <w:div w:id="1591347389">
              <w:marLeft w:val="0"/>
              <w:marRight w:val="0"/>
              <w:marTop w:val="0"/>
              <w:marBottom w:val="0"/>
              <w:divBdr>
                <w:top w:val="none" w:sz="0" w:space="0" w:color="auto"/>
                <w:left w:val="none" w:sz="0" w:space="0" w:color="auto"/>
                <w:bottom w:val="none" w:sz="0" w:space="0" w:color="auto"/>
                <w:right w:val="none" w:sz="0" w:space="0" w:color="auto"/>
              </w:divBdr>
              <w:divsChild>
                <w:div w:id="1099712596">
                  <w:marLeft w:val="0"/>
                  <w:marRight w:val="0"/>
                  <w:marTop w:val="0"/>
                  <w:marBottom w:val="0"/>
                  <w:divBdr>
                    <w:top w:val="none" w:sz="0" w:space="0" w:color="auto"/>
                    <w:left w:val="none" w:sz="0" w:space="0" w:color="auto"/>
                    <w:bottom w:val="none" w:sz="0" w:space="0" w:color="auto"/>
                    <w:right w:val="none" w:sz="0" w:space="0" w:color="auto"/>
                  </w:divBdr>
                  <w:divsChild>
                    <w:div w:id="1446652489">
                      <w:marLeft w:val="0"/>
                      <w:marRight w:val="0"/>
                      <w:marTop w:val="0"/>
                      <w:marBottom w:val="0"/>
                      <w:divBdr>
                        <w:top w:val="none" w:sz="0" w:space="0" w:color="auto"/>
                        <w:left w:val="none" w:sz="0" w:space="0" w:color="auto"/>
                        <w:bottom w:val="none" w:sz="0" w:space="0" w:color="auto"/>
                        <w:right w:val="none" w:sz="0" w:space="0" w:color="auto"/>
                      </w:divBdr>
                      <w:divsChild>
                        <w:div w:id="1759597045">
                          <w:marLeft w:val="0"/>
                          <w:marRight w:val="0"/>
                          <w:marTop w:val="0"/>
                          <w:marBottom w:val="0"/>
                          <w:divBdr>
                            <w:top w:val="none" w:sz="0" w:space="0" w:color="auto"/>
                            <w:left w:val="none" w:sz="0" w:space="0" w:color="auto"/>
                            <w:bottom w:val="none" w:sz="0" w:space="0" w:color="auto"/>
                            <w:right w:val="none" w:sz="0" w:space="0" w:color="auto"/>
                          </w:divBdr>
                          <w:divsChild>
                            <w:div w:id="1603222835">
                              <w:marLeft w:val="0"/>
                              <w:marRight w:val="300"/>
                              <w:marTop w:val="180"/>
                              <w:marBottom w:val="0"/>
                              <w:divBdr>
                                <w:top w:val="none" w:sz="0" w:space="0" w:color="auto"/>
                                <w:left w:val="none" w:sz="0" w:space="0" w:color="auto"/>
                                <w:bottom w:val="none" w:sz="0" w:space="0" w:color="auto"/>
                                <w:right w:val="none" w:sz="0" w:space="0" w:color="auto"/>
                              </w:divBdr>
                              <w:divsChild>
                                <w:div w:id="14274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0598090">
          <w:marLeft w:val="0"/>
          <w:marRight w:val="0"/>
          <w:marTop w:val="0"/>
          <w:marBottom w:val="0"/>
          <w:divBdr>
            <w:top w:val="none" w:sz="0" w:space="0" w:color="auto"/>
            <w:left w:val="none" w:sz="0" w:space="0" w:color="auto"/>
            <w:bottom w:val="none" w:sz="0" w:space="0" w:color="auto"/>
            <w:right w:val="none" w:sz="0" w:space="0" w:color="auto"/>
          </w:divBdr>
          <w:divsChild>
            <w:div w:id="1979144413">
              <w:marLeft w:val="0"/>
              <w:marRight w:val="0"/>
              <w:marTop w:val="0"/>
              <w:marBottom w:val="0"/>
              <w:divBdr>
                <w:top w:val="none" w:sz="0" w:space="0" w:color="auto"/>
                <w:left w:val="none" w:sz="0" w:space="0" w:color="auto"/>
                <w:bottom w:val="none" w:sz="0" w:space="0" w:color="auto"/>
                <w:right w:val="none" w:sz="0" w:space="0" w:color="auto"/>
              </w:divBdr>
              <w:divsChild>
                <w:div w:id="740911151">
                  <w:marLeft w:val="0"/>
                  <w:marRight w:val="0"/>
                  <w:marTop w:val="0"/>
                  <w:marBottom w:val="0"/>
                  <w:divBdr>
                    <w:top w:val="none" w:sz="0" w:space="0" w:color="auto"/>
                    <w:left w:val="none" w:sz="0" w:space="0" w:color="auto"/>
                    <w:bottom w:val="none" w:sz="0" w:space="0" w:color="auto"/>
                    <w:right w:val="none" w:sz="0" w:space="0" w:color="auto"/>
                  </w:divBdr>
                  <w:divsChild>
                    <w:div w:id="1741440116">
                      <w:marLeft w:val="0"/>
                      <w:marRight w:val="0"/>
                      <w:marTop w:val="0"/>
                      <w:marBottom w:val="0"/>
                      <w:divBdr>
                        <w:top w:val="none" w:sz="0" w:space="0" w:color="auto"/>
                        <w:left w:val="none" w:sz="0" w:space="0" w:color="auto"/>
                        <w:bottom w:val="none" w:sz="0" w:space="0" w:color="auto"/>
                        <w:right w:val="none" w:sz="0" w:space="0" w:color="auto"/>
                      </w:divBdr>
                      <w:divsChild>
                        <w:div w:id="194283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749362">
      <w:bodyDiv w:val="1"/>
      <w:marLeft w:val="0"/>
      <w:marRight w:val="0"/>
      <w:marTop w:val="0"/>
      <w:marBottom w:val="0"/>
      <w:divBdr>
        <w:top w:val="none" w:sz="0" w:space="0" w:color="auto"/>
        <w:left w:val="none" w:sz="0" w:space="0" w:color="auto"/>
        <w:bottom w:val="none" w:sz="0" w:space="0" w:color="auto"/>
        <w:right w:val="none" w:sz="0" w:space="0" w:color="auto"/>
      </w:divBdr>
    </w:div>
    <w:div w:id="1711149416">
      <w:bodyDiv w:val="1"/>
      <w:marLeft w:val="0"/>
      <w:marRight w:val="0"/>
      <w:marTop w:val="0"/>
      <w:marBottom w:val="0"/>
      <w:divBdr>
        <w:top w:val="none" w:sz="0" w:space="0" w:color="auto"/>
        <w:left w:val="none" w:sz="0" w:space="0" w:color="auto"/>
        <w:bottom w:val="none" w:sz="0" w:space="0" w:color="auto"/>
        <w:right w:val="none" w:sz="0" w:space="0" w:color="auto"/>
      </w:divBdr>
      <w:divsChild>
        <w:div w:id="203953376">
          <w:marLeft w:val="0"/>
          <w:marRight w:val="0"/>
          <w:marTop w:val="0"/>
          <w:marBottom w:val="0"/>
          <w:divBdr>
            <w:top w:val="none" w:sz="0" w:space="0" w:color="auto"/>
            <w:left w:val="single" w:sz="6" w:space="15" w:color="B4B4B4"/>
            <w:bottom w:val="single" w:sz="6" w:space="0" w:color="B4B4B4"/>
            <w:right w:val="single" w:sz="6" w:space="15" w:color="B4B4B4"/>
          </w:divBdr>
          <w:divsChild>
            <w:div w:id="657851292">
              <w:marLeft w:val="0"/>
              <w:marRight w:val="0"/>
              <w:marTop w:val="0"/>
              <w:marBottom w:val="0"/>
              <w:divBdr>
                <w:top w:val="none" w:sz="0" w:space="0" w:color="auto"/>
                <w:left w:val="none" w:sz="0" w:space="0" w:color="auto"/>
                <w:bottom w:val="none" w:sz="0" w:space="0" w:color="auto"/>
                <w:right w:val="none" w:sz="0" w:space="0" w:color="auto"/>
              </w:divBdr>
              <w:divsChild>
                <w:div w:id="1292246990">
                  <w:marLeft w:val="-300"/>
                  <w:marRight w:val="0"/>
                  <w:marTop w:val="0"/>
                  <w:marBottom w:val="0"/>
                  <w:divBdr>
                    <w:top w:val="none" w:sz="0" w:space="0" w:color="auto"/>
                    <w:left w:val="none" w:sz="0" w:space="0" w:color="auto"/>
                    <w:bottom w:val="none" w:sz="0" w:space="0" w:color="auto"/>
                    <w:right w:val="none" w:sz="0" w:space="0" w:color="auto"/>
                  </w:divBdr>
                  <w:divsChild>
                    <w:div w:id="26564813">
                      <w:marLeft w:val="0"/>
                      <w:marRight w:val="0"/>
                      <w:marTop w:val="0"/>
                      <w:marBottom w:val="0"/>
                      <w:divBdr>
                        <w:top w:val="none" w:sz="0" w:space="0" w:color="auto"/>
                        <w:left w:val="none" w:sz="0" w:space="0" w:color="auto"/>
                        <w:bottom w:val="none" w:sz="0" w:space="0" w:color="auto"/>
                        <w:right w:val="none" w:sz="0" w:space="0" w:color="auto"/>
                      </w:divBdr>
                      <w:divsChild>
                        <w:div w:id="772286333">
                          <w:marLeft w:val="-300"/>
                          <w:marRight w:val="0"/>
                          <w:marTop w:val="0"/>
                          <w:marBottom w:val="0"/>
                          <w:divBdr>
                            <w:top w:val="none" w:sz="0" w:space="0" w:color="auto"/>
                            <w:left w:val="none" w:sz="0" w:space="0" w:color="auto"/>
                            <w:bottom w:val="none" w:sz="0" w:space="0" w:color="auto"/>
                            <w:right w:val="none" w:sz="0" w:space="0" w:color="auto"/>
                          </w:divBdr>
                          <w:divsChild>
                            <w:div w:id="604190528">
                              <w:marLeft w:val="0"/>
                              <w:marRight w:val="120"/>
                              <w:marTop w:val="120"/>
                              <w:marBottom w:val="120"/>
                              <w:divBdr>
                                <w:top w:val="single" w:sz="6" w:space="4" w:color="E8E8E8"/>
                                <w:left w:val="single" w:sz="6" w:space="0" w:color="E8E8E8"/>
                                <w:bottom w:val="single" w:sz="6" w:space="31" w:color="E8E8E8"/>
                                <w:right w:val="single" w:sz="6" w:space="0" w:color="E8E8E8"/>
                              </w:divBdr>
                            </w:div>
                          </w:divsChild>
                        </w:div>
                      </w:divsChild>
                    </w:div>
                  </w:divsChild>
                </w:div>
              </w:divsChild>
            </w:div>
          </w:divsChild>
        </w:div>
      </w:divsChild>
    </w:div>
    <w:div w:id="1888106663">
      <w:bodyDiv w:val="1"/>
      <w:marLeft w:val="0"/>
      <w:marRight w:val="0"/>
      <w:marTop w:val="0"/>
      <w:marBottom w:val="0"/>
      <w:divBdr>
        <w:top w:val="none" w:sz="0" w:space="0" w:color="auto"/>
        <w:left w:val="none" w:sz="0" w:space="0" w:color="auto"/>
        <w:bottom w:val="none" w:sz="0" w:space="0" w:color="auto"/>
        <w:right w:val="none" w:sz="0" w:space="0" w:color="auto"/>
      </w:divBdr>
      <w:divsChild>
        <w:div w:id="1843474589">
          <w:marLeft w:val="0"/>
          <w:marRight w:val="0"/>
          <w:marTop w:val="0"/>
          <w:marBottom w:val="0"/>
          <w:divBdr>
            <w:top w:val="none" w:sz="0" w:space="0" w:color="auto"/>
            <w:left w:val="none" w:sz="0" w:space="0" w:color="auto"/>
            <w:bottom w:val="none" w:sz="0" w:space="0" w:color="auto"/>
            <w:right w:val="none" w:sz="0" w:space="0" w:color="auto"/>
          </w:divBdr>
          <w:divsChild>
            <w:div w:id="587932283">
              <w:marLeft w:val="0"/>
              <w:marRight w:val="0"/>
              <w:marTop w:val="0"/>
              <w:marBottom w:val="0"/>
              <w:divBdr>
                <w:top w:val="none" w:sz="0" w:space="0" w:color="auto"/>
                <w:left w:val="none" w:sz="0" w:space="0" w:color="auto"/>
                <w:bottom w:val="none" w:sz="0" w:space="0" w:color="auto"/>
                <w:right w:val="none" w:sz="0" w:space="0" w:color="auto"/>
              </w:divBdr>
              <w:divsChild>
                <w:div w:id="1933857188">
                  <w:marLeft w:val="0"/>
                  <w:marRight w:val="0"/>
                  <w:marTop w:val="0"/>
                  <w:marBottom w:val="0"/>
                  <w:divBdr>
                    <w:top w:val="none" w:sz="0" w:space="0" w:color="auto"/>
                    <w:left w:val="none" w:sz="0" w:space="0" w:color="auto"/>
                    <w:bottom w:val="none" w:sz="0" w:space="0" w:color="auto"/>
                    <w:right w:val="none" w:sz="0" w:space="0" w:color="auto"/>
                  </w:divBdr>
                  <w:divsChild>
                    <w:div w:id="2145347351">
                      <w:marLeft w:val="0"/>
                      <w:marRight w:val="0"/>
                      <w:marTop w:val="0"/>
                      <w:marBottom w:val="0"/>
                      <w:divBdr>
                        <w:top w:val="none" w:sz="0" w:space="0" w:color="auto"/>
                        <w:left w:val="none" w:sz="0" w:space="0" w:color="auto"/>
                        <w:bottom w:val="none" w:sz="0" w:space="0" w:color="auto"/>
                        <w:right w:val="none" w:sz="0" w:space="0" w:color="auto"/>
                      </w:divBdr>
                      <w:divsChild>
                        <w:div w:id="704331817">
                          <w:marLeft w:val="0"/>
                          <w:marRight w:val="0"/>
                          <w:marTop w:val="0"/>
                          <w:marBottom w:val="0"/>
                          <w:divBdr>
                            <w:top w:val="none" w:sz="0" w:space="0" w:color="auto"/>
                            <w:left w:val="none" w:sz="0" w:space="0" w:color="auto"/>
                            <w:bottom w:val="none" w:sz="0" w:space="0" w:color="auto"/>
                            <w:right w:val="none" w:sz="0" w:space="0" w:color="auto"/>
                          </w:divBdr>
                          <w:divsChild>
                            <w:div w:id="1845776307">
                              <w:marLeft w:val="0"/>
                              <w:marRight w:val="300"/>
                              <w:marTop w:val="180"/>
                              <w:marBottom w:val="0"/>
                              <w:divBdr>
                                <w:top w:val="none" w:sz="0" w:space="0" w:color="auto"/>
                                <w:left w:val="none" w:sz="0" w:space="0" w:color="auto"/>
                                <w:bottom w:val="none" w:sz="0" w:space="0" w:color="auto"/>
                                <w:right w:val="none" w:sz="0" w:space="0" w:color="auto"/>
                              </w:divBdr>
                              <w:divsChild>
                                <w:div w:id="213170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1429608">
          <w:marLeft w:val="0"/>
          <w:marRight w:val="0"/>
          <w:marTop w:val="0"/>
          <w:marBottom w:val="0"/>
          <w:divBdr>
            <w:top w:val="none" w:sz="0" w:space="0" w:color="auto"/>
            <w:left w:val="none" w:sz="0" w:space="0" w:color="auto"/>
            <w:bottom w:val="none" w:sz="0" w:space="0" w:color="auto"/>
            <w:right w:val="none" w:sz="0" w:space="0" w:color="auto"/>
          </w:divBdr>
          <w:divsChild>
            <w:div w:id="194464468">
              <w:marLeft w:val="0"/>
              <w:marRight w:val="0"/>
              <w:marTop w:val="0"/>
              <w:marBottom w:val="0"/>
              <w:divBdr>
                <w:top w:val="none" w:sz="0" w:space="0" w:color="auto"/>
                <w:left w:val="none" w:sz="0" w:space="0" w:color="auto"/>
                <w:bottom w:val="none" w:sz="0" w:space="0" w:color="auto"/>
                <w:right w:val="none" w:sz="0" w:space="0" w:color="auto"/>
              </w:divBdr>
              <w:divsChild>
                <w:div w:id="1525704898">
                  <w:marLeft w:val="0"/>
                  <w:marRight w:val="0"/>
                  <w:marTop w:val="0"/>
                  <w:marBottom w:val="0"/>
                  <w:divBdr>
                    <w:top w:val="none" w:sz="0" w:space="0" w:color="auto"/>
                    <w:left w:val="none" w:sz="0" w:space="0" w:color="auto"/>
                    <w:bottom w:val="none" w:sz="0" w:space="0" w:color="auto"/>
                    <w:right w:val="none" w:sz="0" w:space="0" w:color="auto"/>
                  </w:divBdr>
                  <w:divsChild>
                    <w:div w:id="1997488208">
                      <w:marLeft w:val="0"/>
                      <w:marRight w:val="0"/>
                      <w:marTop w:val="0"/>
                      <w:marBottom w:val="0"/>
                      <w:divBdr>
                        <w:top w:val="none" w:sz="0" w:space="0" w:color="auto"/>
                        <w:left w:val="none" w:sz="0" w:space="0" w:color="auto"/>
                        <w:bottom w:val="none" w:sz="0" w:space="0" w:color="auto"/>
                        <w:right w:val="none" w:sz="0" w:space="0" w:color="auto"/>
                      </w:divBdr>
                      <w:divsChild>
                        <w:div w:id="53288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73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F09A4-6227-4473-BC35-7095D7E93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1385</Words>
  <Characters>7898</Characters>
  <Application>Microsoft Office Word</Application>
  <DocSecurity>0</DocSecurity>
  <Lines>65</Lines>
  <Paragraphs>18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European Investment Bank</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SWERDLOW Robert</dc:creator>
  <cp:keywords/>
  <dc:description/>
  <cp:lastModifiedBy>SCHALLER Michael</cp:lastModifiedBy>
  <cp:revision>4</cp:revision>
  <cp:lastPrinted>2019-07-09T13:49:00Z</cp:lastPrinted>
  <dcterms:created xsi:type="dcterms:W3CDTF">2021-12-10T11:11:00Z</dcterms:created>
  <dcterms:modified xsi:type="dcterms:W3CDTF">2021-12-10T11:27:00Z</dcterms:modified>
</cp:coreProperties>
</file>