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3C486E" w:rsidRDefault="00D0420B">
      <w:r>
        <w:rPr>
          <w:noProof/>
          <w:lang w:val="cs-CZ"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leftMargin">
                  <wp:align>left</wp:align>
                </wp:positionH>
                <wp:positionV relativeFrom="page">
                  <wp:posOffset>0</wp:posOffset>
                </wp:positionV>
                <wp:extent cx="7765200" cy="219600"/>
                <wp:effectExtent l="0" t="0" r="0" b="9525"/>
                <wp:wrapNone/>
                <wp:docPr id="100010111" name="ODT_ATTR_LBL_SHAP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65200" cy="21960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486E" w:rsidRDefault="00D0420B">
                            <w:pPr>
                              <w:spacing w:line="240" w:lineRule="auto"/>
                              <w:contextualSpacing/>
                            </w:pPr>
                            <w:r>
                              <w:rPr>
                                <w:noProof/>
                                <w:position w:val="-6"/>
                                <w:lang w:val="cs-CZ" w:eastAsia="cs-CZ"/>
                              </w:rPr>
                              <w:drawing>
                                <wp:inline distT="0" distB="0" distL="0" distR="0">
                                  <wp:extent cx="316230" cy="179705"/>
                                  <wp:effectExtent l="0" t="0" r="0" b="0"/>
                                  <wp:docPr id="100010001" name="LOGO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0010001" name="LOGO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16230" cy="17970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Roboto" w:hAnsi="Roboto"/>
                                <w:color w:val="0F2B46"/>
                                <w:szCs w:val="18"/>
                              </w:rPr>
                              <w:t xml:space="preserve"> </w:t>
                            </w:r>
                            <w:hyperlink r:id="rId9" w:tooltip="Doc Translator - www.onlinedoctranslator.com" w:history="1">
                              <w:r>
                                <w:rPr>
                                  <w:rFonts w:ascii="Roboto" w:hAnsi="Roboto"/>
                                  <w:color w:val="0F2B46"/>
                                  <w:sz w:val="18"/>
                                  <w:szCs w:val="18"/>
                                </w:rPr>
                                <w:t xml:space="preserve">Přeloženo z angličtina do čeština - </w:t>
                              </w:r>
                              <w:r>
                                <w:rPr>
                                  <w:rFonts w:ascii="Roboto" w:hAnsi="Roboto"/>
                                  <w:color w:val="0F2B46"/>
                                  <w:sz w:val="18"/>
                                  <w:szCs w:val="18"/>
                                  <w:u w:val="single"/>
                                </w:rPr>
                                <w:t>www.onlinedoctranslator.com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0" rIns="9144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100000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ODT_ATTR_LBL_SHAPE" type="#_x0000_t202" style="position:absolute;left:0;text-align:left;margin-left:0;margin-top:0;width:611.45pt;height:17.3pt;z-index:251659264;visibility:visible;mso-wrap-style:square;mso-width-percent:100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1000;mso-height-percent:0;mso-width-relative:page;mso-height-relative:margin;v-text-anchor:top" o:gfxdata="" fillcolor="#f2f2f2" stroked="f">
                <v:textbox inset=",0,,0">
                  <w:txbxContent>
                    <w:p>
                      <w:pPr>
                        <w:bidi/>
                        <w:spacing w:line="240" w:lineRule="auto"/>
                        <w:contextualSpacing/>
                        <w:jc w:val="left"/>
                      </w:pPr>
                      <w:r>
                        <w:rPr>
                          <w:noProof/>
                          <w:position w:val="-6"/>
                        </w:rPr>
                        <w:drawing>
                          <wp:inline distT="0" distB="0" distL="0" distR="0">
                            <wp:extent cx="316230" cy="179705"/>
                            <wp:effectExtent l="0" t="0" r="0" b="0"/>
                            <wp:docPr id="100010001" name="LOGO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0010001" name="LOGO"/>
                                    <pic:cNvPicPr/>
                                  </pic:nvPicPr>
                                  <pic:blipFill>
                                    <a:blip r:embed="r_odt_logo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16230" cy="17970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Roboto" w:hAnsi="Roboto"/>
                          <w:color w:val="0F2B46"/>
                          <w:szCs w:val="18"/>
                        </w:rPr>
                        <w:t xml:space="preserve"> </w:t>
                      </w:r>
                      <w:hyperlink r:id="r_odt_hyperlink" w:history="1" w:tooltip="Doc Translator - www.onlinedoctranslator.com">
                        <w:r>
                          <w:rPr>
                            <w:rFonts w:ascii="Roboto" w:hAnsi="Roboto"/>
                            <w:color w:val="0F2B46"/>
                            <w:sz w:val="18"/>
                            <w:szCs w:val="18"/>
                          </w:rPr>
                          <w:t xml:space="preserve">Přeloženo z angličtina do čeština - </w:t>
                        </w:r>
                        <w:r>
                          <w:rPr>
                            <w:rFonts w:ascii="Roboto" w:hAnsi="Roboto"/>
                            <w:color w:val="0F2B46"/>
                            <w:sz w:val="18"/>
                            <w:szCs w:val="18"/>
                            <w:u w:val="single"/>
                          </w:rPr>
                          <w:t>www.onlinedoctranslator.com</w:t>
                        </w:r>
                      </w:hyperlink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7F0941" w:rsidRDefault="009E2181">
      <w:pPr>
        <w:jc w:val="both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Fond spravedlivého přechodu — Strategické posouzení návrhu projektu</w:t>
      </w:r>
    </w:p>
    <w:p w:rsidR="007F0941" w:rsidRDefault="00DD5B0C">
      <w:pPr>
        <w:jc w:val="both"/>
        <w:rPr>
          <w:rFonts w:ascii="Arial" w:hAnsi="Arial" w:cs="Arial"/>
          <w:i/>
          <w:sz w:val="16"/>
        </w:rPr>
      </w:pPr>
      <w:r>
        <w:rPr>
          <w:rFonts w:ascii="Arial" w:hAnsi="Arial" w:cs="Arial"/>
          <w:i/>
          <w:sz w:val="16"/>
        </w:rPr>
        <w:t>(Hodnotící zpráva o relevantních informacích uvedených v projektové dokumentaci)</w:t>
      </w:r>
    </w:p>
    <w:p w:rsidR="007F2832" w:rsidRDefault="007F2832">
      <w:pPr>
        <w:jc w:val="both"/>
        <w:rPr>
          <w:rFonts w:ascii="Arial" w:hAnsi="Arial" w:cs="Arial"/>
          <w:b/>
          <w:sz w:val="24"/>
          <w:u w:val="single"/>
        </w:rPr>
      </w:pPr>
    </w:p>
    <w:p w:rsidR="007F2832" w:rsidRDefault="007F2832" w:rsidP="007F2832">
      <w:pPr>
        <w:jc w:val="both"/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sz w:val="24"/>
          <w:u w:val="single"/>
        </w:rPr>
        <w:t>Detaily projektu</w:t>
      </w:r>
    </w:p>
    <w:p w:rsidR="007F2832" w:rsidRDefault="007F2832" w:rsidP="007F2832">
      <w:pPr>
        <w:jc w:val="both"/>
        <w:rPr>
          <w:rFonts w:ascii="Arial" w:hAnsi="Arial" w:cs="Arial"/>
          <w:b/>
          <w:sz w:val="24"/>
          <w:u w:val="single"/>
        </w:rPr>
      </w:pPr>
    </w:p>
    <w:tbl>
      <w:tblPr>
        <w:tblStyle w:val="Mkatabulky"/>
        <w:tblW w:w="0" w:type="auto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4508"/>
        <w:gridCol w:w="4508"/>
      </w:tblGrid>
      <w:tr w:rsidR="007F2832" w:rsidTr="00A70278">
        <w:tc>
          <w:tcPr>
            <w:tcW w:w="4508" w:type="dxa"/>
          </w:tcPr>
          <w:p w:rsidR="007F2832" w:rsidRPr="00A70278" w:rsidRDefault="007F2832" w:rsidP="007F2832">
            <w:pPr>
              <w:jc w:val="both"/>
              <w:rPr>
                <w:rFonts w:ascii="Arial" w:hAnsi="Arial" w:cs="Arial"/>
                <w:i/>
                <w:sz w:val="24"/>
              </w:rPr>
            </w:pPr>
            <w:r w:rsidRPr="004250A9">
              <w:rPr>
                <w:rFonts w:ascii="Arial" w:hAnsi="Arial" w:cs="Arial"/>
                <w:i/>
                <w:sz w:val="24"/>
              </w:rPr>
              <w:t>Název projektu</w:t>
            </w:r>
          </w:p>
        </w:tc>
        <w:tc>
          <w:tcPr>
            <w:tcW w:w="4508" w:type="dxa"/>
          </w:tcPr>
          <w:p w:rsidR="007F2832" w:rsidRPr="007E4C43" w:rsidRDefault="00870CEE" w:rsidP="007F2832">
            <w:pPr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7E4C43">
              <w:rPr>
                <w:rFonts w:ascii="Arial" w:hAnsi="Arial" w:cs="Arial"/>
                <w:color w:val="000000"/>
                <w:sz w:val="24"/>
                <w:szCs w:val="24"/>
              </w:rPr>
              <w:t>Rekonstrukce a modernizace Střední průmyslové školy keramické a sklářské Karlovy Vary</w:t>
            </w:r>
          </w:p>
        </w:tc>
      </w:tr>
      <w:tr w:rsidR="00870CEE" w:rsidTr="00452ACC">
        <w:tc>
          <w:tcPr>
            <w:tcW w:w="4508" w:type="dxa"/>
          </w:tcPr>
          <w:p w:rsidR="00870CEE" w:rsidRPr="00A70278" w:rsidRDefault="00870CEE" w:rsidP="00870CEE">
            <w:pPr>
              <w:jc w:val="both"/>
              <w:rPr>
                <w:rFonts w:ascii="Arial" w:hAnsi="Arial" w:cs="Arial"/>
                <w:i/>
                <w:sz w:val="24"/>
              </w:rPr>
            </w:pPr>
            <w:r w:rsidRPr="00A70278">
              <w:rPr>
                <w:rFonts w:ascii="Arial" w:hAnsi="Arial" w:cs="Arial"/>
                <w:i/>
                <w:sz w:val="24"/>
              </w:rPr>
              <w:t>Příjemce</w:t>
            </w:r>
          </w:p>
        </w:tc>
        <w:tc>
          <w:tcPr>
            <w:tcW w:w="4508" w:type="dxa"/>
            <w:vAlign w:val="bottom"/>
          </w:tcPr>
          <w:p w:rsidR="00870CEE" w:rsidRPr="007E4C43" w:rsidRDefault="00870CEE" w:rsidP="00870CEE">
            <w:pPr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proofErr w:type="spellStart"/>
            <w:r w:rsidRPr="007E4C43">
              <w:rPr>
                <w:rFonts w:ascii="Arial" w:hAnsi="Arial" w:cs="Arial"/>
                <w:color w:val="000000"/>
                <w:sz w:val="24"/>
                <w:szCs w:val="24"/>
              </w:rPr>
              <w:t>Karlovarský</w:t>
            </w:r>
            <w:proofErr w:type="spellEnd"/>
            <w:r w:rsidRPr="007E4C43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E4C43">
              <w:rPr>
                <w:rFonts w:ascii="Arial" w:hAnsi="Arial" w:cs="Arial"/>
                <w:color w:val="000000"/>
                <w:sz w:val="24"/>
                <w:szCs w:val="24"/>
              </w:rPr>
              <w:t>kraj</w:t>
            </w:r>
            <w:proofErr w:type="spellEnd"/>
          </w:p>
        </w:tc>
      </w:tr>
      <w:tr w:rsidR="00870CEE" w:rsidTr="00452ACC">
        <w:tc>
          <w:tcPr>
            <w:tcW w:w="4508" w:type="dxa"/>
          </w:tcPr>
          <w:p w:rsidR="00870CEE" w:rsidRPr="00A70278" w:rsidRDefault="00870CEE" w:rsidP="00870CEE">
            <w:pPr>
              <w:jc w:val="both"/>
              <w:rPr>
                <w:rFonts w:ascii="Arial" w:hAnsi="Arial" w:cs="Arial"/>
                <w:i/>
                <w:sz w:val="24"/>
              </w:rPr>
            </w:pPr>
            <w:r w:rsidRPr="004250A9">
              <w:rPr>
                <w:rFonts w:ascii="Arial" w:hAnsi="Arial" w:cs="Arial"/>
                <w:i/>
                <w:sz w:val="24"/>
              </w:rPr>
              <w:t>Odhadované náklady</w:t>
            </w:r>
          </w:p>
        </w:tc>
        <w:tc>
          <w:tcPr>
            <w:tcW w:w="4508" w:type="dxa"/>
            <w:vAlign w:val="bottom"/>
          </w:tcPr>
          <w:p w:rsidR="00870CEE" w:rsidRPr="007E4C43" w:rsidRDefault="00870CEE" w:rsidP="00870CEE">
            <w:pPr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7E4C43">
              <w:rPr>
                <w:rFonts w:ascii="Arial" w:hAnsi="Arial" w:cs="Arial"/>
                <w:color w:val="000000"/>
                <w:sz w:val="24"/>
                <w:szCs w:val="24"/>
              </w:rPr>
              <w:t>680 000 000 Kč (</w:t>
            </w:r>
            <w:r w:rsidR="001B63A4" w:rsidRPr="002E29B9">
              <w:rPr>
                <w:rFonts w:ascii="Arial" w:hAnsi="Arial" w:cs="Arial"/>
                <w:sz w:val="24"/>
                <w:szCs w:val="24"/>
              </w:rPr>
              <w:t>26,5 mil. EUR)</w:t>
            </w:r>
          </w:p>
        </w:tc>
      </w:tr>
      <w:tr w:rsidR="00870CEE" w:rsidTr="000162A3">
        <w:tc>
          <w:tcPr>
            <w:tcW w:w="4508" w:type="dxa"/>
          </w:tcPr>
          <w:p w:rsidR="00870CEE" w:rsidRPr="00FB0EFD" w:rsidRDefault="00870CEE" w:rsidP="00870CEE">
            <w:pPr>
              <w:jc w:val="both"/>
              <w:rPr>
                <w:color w:val="000000"/>
              </w:rPr>
            </w:pPr>
            <w:r w:rsidRPr="006E47C3">
              <w:rPr>
                <w:rFonts w:ascii="Arial" w:hAnsi="Arial" w:cs="Arial"/>
                <w:i/>
                <w:sz w:val="24"/>
              </w:rPr>
              <w:t xml:space="preserve">Odhadovaný časový plán implementace </w:t>
            </w:r>
          </w:p>
        </w:tc>
        <w:tc>
          <w:tcPr>
            <w:tcW w:w="4508" w:type="dxa"/>
            <w:vAlign w:val="bottom"/>
          </w:tcPr>
          <w:p w:rsidR="00870CEE" w:rsidRPr="007E4C43" w:rsidRDefault="00870CEE" w:rsidP="00870CEE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E4C43">
              <w:rPr>
                <w:rFonts w:ascii="Arial" w:hAnsi="Arial" w:cs="Arial"/>
                <w:color w:val="000000"/>
                <w:sz w:val="24"/>
                <w:szCs w:val="24"/>
              </w:rPr>
              <w:t>2021–2025</w:t>
            </w:r>
          </w:p>
        </w:tc>
      </w:tr>
      <w:tr w:rsidR="004250A9" w:rsidTr="00A70278">
        <w:tc>
          <w:tcPr>
            <w:tcW w:w="4508" w:type="dxa"/>
          </w:tcPr>
          <w:p w:rsidR="004250A9" w:rsidRPr="004250A9" w:rsidRDefault="004250A9" w:rsidP="007F2832">
            <w:pPr>
              <w:jc w:val="both"/>
              <w:rPr>
                <w:rFonts w:ascii="Arial" w:hAnsi="Arial" w:cs="Arial"/>
                <w:i/>
                <w:sz w:val="24"/>
              </w:rPr>
            </w:pPr>
            <w:r w:rsidRPr="004250A9">
              <w:rPr>
                <w:rFonts w:ascii="Arial" w:hAnsi="Arial" w:cs="Arial"/>
                <w:i/>
                <w:sz w:val="24"/>
              </w:rPr>
              <w:t>Umístění</w:t>
            </w:r>
          </w:p>
        </w:tc>
        <w:tc>
          <w:tcPr>
            <w:tcW w:w="4508" w:type="dxa"/>
          </w:tcPr>
          <w:p w:rsidR="004250A9" w:rsidRPr="007E4C43" w:rsidRDefault="00B70466" w:rsidP="007F283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E4C43">
              <w:rPr>
                <w:rFonts w:ascii="Arial" w:hAnsi="Arial" w:cs="Arial"/>
                <w:sz w:val="24"/>
                <w:szCs w:val="24"/>
              </w:rPr>
              <w:t>Rybár</w:t>
            </w:r>
            <w:proofErr w:type="spellEnd"/>
          </w:p>
        </w:tc>
      </w:tr>
      <w:tr w:rsidR="004250A9" w:rsidTr="00A70278">
        <w:tc>
          <w:tcPr>
            <w:tcW w:w="4508" w:type="dxa"/>
          </w:tcPr>
          <w:p w:rsidR="004250A9" w:rsidRPr="004250A9" w:rsidRDefault="004250A9" w:rsidP="007F2832">
            <w:pPr>
              <w:jc w:val="both"/>
              <w:rPr>
                <w:rFonts w:ascii="Arial" w:hAnsi="Arial" w:cs="Arial"/>
                <w:i/>
                <w:sz w:val="24"/>
              </w:rPr>
            </w:pPr>
            <w:r w:rsidRPr="004250A9">
              <w:rPr>
                <w:rFonts w:ascii="Arial" w:hAnsi="Arial" w:cs="Arial"/>
                <w:i/>
                <w:sz w:val="24"/>
              </w:rPr>
              <w:t>Kraj</w:t>
            </w:r>
          </w:p>
        </w:tc>
        <w:tc>
          <w:tcPr>
            <w:tcW w:w="4508" w:type="dxa"/>
          </w:tcPr>
          <w:p w:rsidR="004250A9" w:rsidRPr="007E4C43" w:rsidRDefault="00C54181" w:rsidP="007F2832">
            <w:pPr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7E4C43">
              <w:rPr>
                <w:rFonts w:ascii="Arial" w:hAnsi="Arial" w:cs="Arial"/>
                <w:color w:val="000000"/>
                <w:sz w:val="24"/>
                <w:szCs w:val="24"/>
              </w:rPr>
              <w:t>Karlovy Vary</w:t>
            </w:r>
          </w:p>
        </w:tc>
      </w:tr>
    </w:tbl>
    <w:p w:rsidR="007F2832" w:rsidRDefault="007F2832" w:rsidP="007F2832">
      <w:pPr>
        <w:jc w:val="both"/>
        <w:rPr>
          <w:rFonts w:ascii="Arial" w:hAnsi="Arial" w:cs="Arial"/>
          <w:b/>
          <w:sz w:val="24"/>
          <w:u w:val="single"/>
        </w:rPr>
      </w:pPr>
    </w:p>
    <w:p w:rsidR="00970DD6" w:rsidRDefault="00970DD6" w:rsidP="00970DD6">
      <w:pPr>
        <w:jc w:val="both"/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sz w:val="24"/>
          <w:u w:val="single"/>
        </w:rPr>
        <w:t>Popis projektu</w:t>
      </w:r>
    </w:p>
    <w:tbl>
      <w:tblPr>
        <w:tblStyle w:val="Mkatabulky"/>
        <w:tblW w:w="9445" w:type="dxa"/>
        <w:tblLook w:val="04A0" w:firstRow="1" w:lastRow="0" w:firstColumn="1" w:lastColumn="0" w:noHBand="0" w:noVBand="1"/>
      </w:tblPr>
      <w:tblGrid>
        <w:gridCol w:w="9445"/>
      </w:tblGrid>
      <w:tr w:rsidR="00970DD6" w:rsidTr="009C079C">
        <w:trPr>
          <w:trHeight w:val="1614"/>
        </w:trPr>
        <w:tc>
          <w:tcPr>
            <w:tcW w:w="9445" w:type="dxa"/>
          </w:tcPr>
          <w:p w:rsidR="009E1C8D" w:rsidRPr="009E1C8D" w:rsidRDefault="00B70466" w:rsidP="009E1C8D">
            <w:pPr>
              <w:pStyle w:val="Odstavecseseznamem"/>
              <w:spacing w:before="60" w:after="60"/>
              <w:ind w:left="3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A2820">
              <w:rPr>
                <w:rFonts w:ascii="Arial" w:hAnsi="Arial" w:cs="Arial"/>
                <w:sz w:val="24"/>
                <w:szCs w:val="24"/>
              </w:rPr>
              <w:t xml:space="preserve">Projekt se týká obnovy a modernizace vzdělávacích zařízení Střední průmyslové školy keramické a sklářské (dále jen „škola“) v Karlových Varech. Rekonstrukce doplní historickou budovu střední školy o novou budovu, která bude stavebně navazovat na stávající budovu. Tento komplex budov bude sloužit pro vzdělávací, kulturní, výzkumné a komunitní účely. Kromě toho zde budou dvě galerie spravované školou (stálé sbírky a aktuální výstavy), bufet, knihovna a multifunkční sál pro přednášky, divadlo, koncerty, kino a konference. Kromě Střední průmyslové školy keramické a sklářské budou nové prostory využívat pro vlastní akce Kulturní a kreativní průmysl (Centrum umění a designu) a </w:t>
            </w:r>
            <w:proofErr w:type="spellStart"/>
            <w:r w:rsidRPr="00CA2820">
              <w:rPr>
                <w:rFonts w:ascii="Arial" w:hAnsi="Arial" w:cs="Arial"/>
                <w:sz w:val="24"/>
                <w:szCs w:val="24"/>
              </w:rPr>
              <w:t>Karlovarské</w:t>
            </w:r>
            <w:proofErr w:type="spellEnd"/>
            <w:r w:rsidRPr="00CA282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A2820">
              <w:rPr>
                <w:rFonts w:ascii="Arial" w:hAnsi="Arial" w:cs="Arial"/>
                <w:sz w:val="24"/>
                <w:szCs w:val="24"/>
              </w:rPr>
              <w:t>inovační</w:t>
            </w:r>
            <w:proofErr w:type="spellEnd"/>
            <w:r w:rsidRPr="00CA2820">
              <w:rPr>
                <w:rFonts w:ascii="Arial" w:hAnsi="Arial" w:cs="Arial"/>
                <w:sz w:val="24"/>
                <w:szCs w:val="24"/>
              </w:rPr>
              <w:t xml:space="preserve"> centrum (KIC).</w:t>
            </w:r>
          </w:p>
          <w:p w:rsidR="00FD1941" w:rsidRDefault="00FD1941" w:rsidP="0046064C">
            <w:pPr>
              <w:pStyle w:val="Odstavecseseznamem"/>
              <w:spacing w:before="60" w:after="60"/>
              <w:ind w:left="36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3C0E67" w:rsidRPr="00DB0419" w:rsidRDefault="003C0E67" w:rsidP="003C0E67">
            <w:pPr>
              <w:pStyle w:val="Odstavecseseznamem"/>
              <w:spacing w:before="60" w:after="60"/>
              <w:ind w:left="3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B0419">
              <w:rPr>
                <w:rFonts w:ascii="Arial" w:hAnsi="Arial" w:cs="Arial"/>
                <w:sz w:val="24"/>
                <w:szCs w:val="24"/>
              </w:rPr>
              <w:t xml:space="preserve">Projekt má synergii s projektem Cultural and Creative Industries, který v areálu vytvoří centrum umění a designu a společně tyto projekty podpoří transformaci regionu na kreativní průmysly s vyšší přidanou hodnotou. Vazba na projekt Karlovarského inovačního centra (KIC) spočívá v realizaci aktivit souvisejících s cíli RIS3, a to zlepšení regionální inovační výkonnosti a konkurenceschopnosti, např. vytvářením start-upů. Zájem o projekt s LoIs navíc </w:t>
            </w:r>
            <w:proofErr w:type="spellStart"/>
            <w:r w:rsidRPr="00DB0419">
              <w:rPr>
                <w:rFonts w:ascii="Arial" w:hAnsi="Arial" w:cs="Arial"/>
                <w:sz w:val="24"/>
                <w:szCs w:val="24"/>
              </w:rPr>
              <w:t>signalizovalo</w:t>
            </w:r>
            <w:proofErr w:type="spellEnd"/>
            <w:r w:rsidRPr="00DB041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B0419">
              <w:rPr>
                <w:rFonts w:ascii="Arial" w:hAnsi="Arial" w:cs="Arial"/>
                <w:sz w:val="24"/>
                <w:szCs w:val="24"/>
              </w:rPr>
              <w:t>několik</w:t>
            </w:r>
            <w:proofErr w:type="spellEnd"/>
            <w:r w:rsidRPr="00DB041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B0419">
              <w:rPr>
                <w:rFonts w:ascii="Arial" w:hAnsi="Arial" w:cs="Arial"/>
                <w:sz w:val="24"/>
                <w:szCs w:val="24"/>
              </w:rPr>
              <w:t>českých</w:t>
            </w:r>
            <w:proofErr w:type="spellEnd"/>
            <w:r w:rsidRPr="00DB041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B0419">
              <w:rPr>
                <w:rFonts w:ascii="Arial" w:hAnsi="Arial" w:cs="Arial"/>
                <w:sz w:val="24"/>
                <w:szCs w:val="24"/>
              </w:rPr>
              <w:t>univerzit</w:t>
            </w:r>
            <w:proofErr w:type="spellEnd"/>
            <w:r w:rsidRPr="00DB0419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3C0E67" w:rsidRPr="0046064C" w:rsidRDefault="003C0E67" w:rsidP="0046064C">
            <w:pPr>
              <w:pStyle w:val="Odstavecseseznamem"/>
              <w:spacing w:before="60" w:after="60"/>
              <w:ind w:left="36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F2832" w:rsidRDefault="007F2832">
      <w:pPr>
        <w:jc w:val="both"/>
        <w:rPr>
          <w:rFonts w:ascii="Arial" w:hAnsi="Arial" w:cs="Arial"/>
          <w:b/>
          <w:sz w:val="24"/>
          <w:u w:val="single"/>
        </w:rPr>
      </w:pPr>
    </w:p>
    <w:p w:rsidR="007F0941" w:rsidRDefault="00DD5B0C">
      <w:pPr>
        <w:jc w:val="both"/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sz w:val="24"/>
          <w:u w:val="single"/>
        </w:rPr>
        <w:t>Způsobilost projektu</w:t>
      </w:r>
    </w:p>
    <w:tbl>
      <w:tblPr>
        <w:tblStyle w:val="Mkatabulky"/>
        <w:tblW w:w="9445" w:type="dxa"/>
        <w:tblLook w:val="04A0" w:firstRow="1" w:lastRow="0" w:firstColumn="1" w:lastColumn="0" w:noHBand="0" w:noVBand="1"/>
      </w:tblPr>
      <w:tblGrid>
        <w:gridCol w:w="9445"/>
      </w:tblGrid>
      <w:tr w:rsidR="00C25026" w:rsidTr="0059418C">
        <w:tc>
          <w:tcPr>
            <w:tcW w:w="9445" w:type="dxa"/>
            <w:shd w:val="clear" w:color="auto" w:fill="D9D9D9" w:themeFill="background1" w:themeFillShade="D9"/>
          </w:tcPr>
          <w:p w:rsidR="00751A3B" w:rsidRDefault="00751A3B" w:rsidP="00751A3B">
            <w:pPr>
              <w:spacing w:before="60" w:after="60"/>
              <w:jc w:val="both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Uvedení do souladu s článkem 2: Specifický cíl JTF </w:t>
            </w:r>
          </w:p>
          <w:p w:rsidR="00C25026" w:rsidRPr="0059418C" w:rsidRDefault="00751A3B" w:rsidP="00751A3B">
            <w:pPr>
              <w:spacing w:before="60" w:after="60"/>
              <w:jc w:val="both"/>
              <w:rPr>
                <w:rFonts w:ascii="Arial" w:hAnsi="Arial" w:cs="Arial"/>
                <w:b/>
                <w:i/>
                <w:sz w:val="24"/>
              </w:rPr>
            </w:pPr>
            <w:r w:rsidRPr="0059418C">
              <w:rPr>
                <w:rFonts w:ascii="Arial" w:hAnsi="Arial" w:cs="Arial"/>
                <w:b/>
                <w:i/>
                <w:sz w:val="24"/>
              </w:rPr>
              <w:lastRenderedPageBreak/>
              <w:t>“</w:t>
            </w:r>
            <w:r w:rsidRPr="00C061CB">
              <w:rPr>
                <w:i/>
              </w:rPr>
              <w:t>JTF přispěje k jedinému specifickému cíli umožnit regionům a lidem řešit sociální dopady, dopady na zaměstnanost, hospodářství a životní prostředí přechodu k cílům Unie pro energetiku a klima do roku 2030 a klimaticky neutrální hospodářství Unie do roku 2050 na základě o Pařížské dohodě."</w:t>
            </w:r>
          </w:p>
        </w:tc>
      </w:tr>
      <w:tr w:rsidR="00C25026" w:rsidTr="00884B19">
        <w:trPr>
          <w:trHeight w:val="1614"/>
        </w:trPr>
        <w:tc>
          <w:tcPr>
            <w:tcW w:w="9445" w:type="dxa"/>
          </w:tcPr>
          <w:p w:rsidR="006D72AF" w:rsidRPr="00864191" w:rsidRDefault="007C6CB2" w:rsidP="006D72AF">
            <w:pPr>
              <w:pStyle w:val="Odstavecseseznamem"/>
              <w:spacing w:before="60" w:after="60"/>
              <w:ind w:left="3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D72AF">
              <w:rPr>
                <w:rFonts w:ascii="Arial" w:hAnsi="Arial" w:cs="Arial"/>
                <w:sz w:val="24"/>
                <w:szCs w:val="24"/>
              </w:rPr>
              <w:lastRenderedPageBreak/>
              <w:t>Konečným cílem projektu je rozvoj sektorů tradičních v regionu poskytováním většího a lepšího vzdělání, nabídkou celoživotního vzdělávání pro místní pracovní sílu v tomto sektoru a působením jako místo setkávání za účelem zvýšení atraktivity a životaschopnosti oblasti. Projekt usnadní místní vzdělávání v kombinaci s příležitostmi zůstat v regionu po absolvování a zvýšení a rekvalifikaci současné pracovní síly. Projekt poskytuje odbornou kvalifikaci splňující potřeby místních firem pro osoby s ohroženým zaměstnáním. Projekt také přispěje k rozvoji ekologicky šetrných technologií výroby keramiky a skla spolu s regionálními univerzitami a předními firmami. Nabídka vzdělávání bude rozšířena o obory navazující na sklo a keramiku, včetně nových oborů zaměřených na design, multimédia, ekologii a životní prostředí a chemii. Poskytnutím nejnovějších technologických znalostí prostřednictvím vzdělávání a školení projekt zvýší inovační potenciál místních firem, podpoří jejich posun ke specializovanějším, malosériovým produktům s vyšší přidanou hodnotou. Projekt tedy přímo prospěje podnikům, které již v regionu existují.</w:t>
            </w:r>
          </w:p>
          <w:p w:rsidR="00DB0419" w:rsidRPr="003852DD" w:rsidRDefault="00DB0419" w:rsidP="00DB0419">
            <w:pPr>
              <w:pStyle w:val="Odstavecseseznamem"/>
              <w:spacing w:before="60" w:after="60"/>
              <w:ind w:left="36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12D62" w:rsidRPr="00EE3B12" w:rsidRDefault="00EE3B12" w:rsidP="00812D62">
            <w:pPr>
              <w:pStyle w:val="Odstavecseseznamem"/>
              <w:spacing w:before="60" w:after="60"/>
              <w:ind w:left="36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Část vzdělávání a školení bude plánována a realizována ve spolupráci s místními firmami tak, aby odpovídala jejich potřebám. Jedním z cílů je podpořit sklářské a keramické firmy, aby se posunuly směrem k produktům a procesům šetrnějším k životnímu prostředí přinášením nových technologií, inovací a oběhových postupů do firemních nástrojů. Proto se očekává, že projekt přispěje k udržitelnému rozvoji v sektoru a regionu.</w:t>
            </w:r>
          </w:p>
          <w:p w:rsidR="00812D62" w:rsidRDefault="00812D62" w:rsidP="006E7091">
            <w:pPr>
              <w:pStyle w:val="Odstavecseseznamem"/>
              <w:spacing w:before="60" w:after="60"/>
              <w:ind w:left="360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E626F3" w:rsidRDefault="00EE3B12" w:rsidP="00E626F3">
            <w:pPr>
              <w:pStyle w:val="Odstavecseseznamem"/>
              <w:spacing w:before="60" w:after="60"/>
              <w:ind w:left="360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Aspekt udržitelnosti při renovaci a výstavbě bude zohledněn budováním podle principů udržitelné výstavby. Škola je dostupná městskou hromadnou dopravou.</w:t>
            </w:r>
          </w:p>
          <w:p w:rsidR="003C57DE" w:rsidRPr="00FB0EFD" w:rsidRDefault="003C57DE" w:rsidP="00864191">
            <w:pPr>
              <w:pStyle w:val="Odstavecseseznamem"/>
              <w:spacing w:before="60" w:after="60"/>
              <w:ind w:left="360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</w:tbl>
    <w:p w:rsidR="00C25026" w:rsidRDefault="00C25026">
      <w:pPr>
        <w:jc w:val="both"/>
        <w:rPr>
          <w:rFonts w:ascii="Arial" w:hAnsi="Arial" w:cs="Arial"/>
          <w:b/>
          <w:sz w:val="24"/>
          <w:u w:val="single"/>
        </w:rPr>
      </w:pPr>
    </w:p>
    <w:tbl>
      <w:tblPr>
        <w:tblStyle w:val="Mkatabulky"/>
        <w:tblW w:w="9445" w:type="dxa"/>
        <w:tblLook w:val="04A0" w:firstRow="1" w:lastRow="0" w:firstColumn="1" w:lastColumn="0" w:noHBand="0" w:noVBand="1"/>
      </w:tblPr>
      <w:tblGrid>
        <w:gridCol w:w="9445"/>
      </w:tblGrid>
      <w:tr w:rsidR="00F8325E" w:rsidTr="00F8325E">
        <w:trPr>
          <w:trHeight w:val="336"/>
        </w:trPr>
        <w:tc>
          <w:tcPr>
            <w:tcW w:w="9445" w:type="dxa"/>
            <w:vMerge w:val="restart"/>
            <w:shd w:val="clear" w:color="auto" w:fill="D9D9D9" w:themeFill="background1" w:themeFillShade="D9"/>
          </w:tcPr>
          <w:p w:rsidR="00963F9B" w:rsidRDefault="00963F9B" w:rsidP="00963F9B">
            <w:pPr>
              <w:spacing w:before="60" w:after="60"/>
              <w:jc w:val="both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Uvedení do souladu s článkem 8: Rozsah podpory </w:t>
            </w:r>
          </w:p>
          <w:p w:rsidR="00C25026" w:rsidRPr="00FB0EFD" w:rsidRDefault="00963F9B" w:rsidP="00963F9B">
            <w:pPr>
              <w:spacing w:before="60" w:after="60"/>
              <w:jc w:val="both"/>
              <w:rPr>
                <w:rFonts w:ascii="Arial" w:hAnsi="Arial" w:cs="Arial"/>
                <w:b/>
                <w:i/>
                <w:sz w:val="24"/>
              </w:rPr>
            </w:pPr>
            <w:r w:rsidRPr="00FB0EFD">
              <w:rPr>
                <w:rFonts w:ascii="Arial" w:hAnsi="Arial" w:cs="Arial"/>
                <w:b/>
                <w:i/>
                <w:sz w:val="24"/>
              </w:rPr>
              <w:t>“</w:t>
            </w:r>
            <w:r w:rsidRPr="00C061CB">
              <w:rPr>
                <w:i/>
              </w:rPr>
              <w:t>JTF podporuje pouze činnosti, které přímo souvisejí s jeho konkrétním cílem uvedeným v článku 2 a které přispívají k provádění územních plánů spravedlivé transformace stanovených v souladu s článkem 11.“</w:t>
            </w:r>
          </w:p>
        </w:tc>
      </w:tr>
      <w:tr w:rsidR="00F8325E" w:rsidTr="00F8325E">
        <w:trPr>
          <w:trHeight w:val="396"/>
        </w:trPr>
        <w:tc>
          <w:tcPr>
            <w:tcW w:w="9445" w:type="dxa"/>
            <w:vMerge/>
            <w:shd w:val="clear" w:color="auto" w:fill="D9D9D9" w:themeFill="background1" w:themeFillShade="D9"/>
          </w:tcPr>
          <w:p w:rsidR="00F8325E" w:rsidRDefault="00F8325E">
            <w:pPr>
              <w:spacing w:before="60" w:after="60"/>
              <w:jc w:val="both"/>
              <w:rPr>
                <w:rFonts w:ascii="Arial" w:hAnsi="Arial" w:cs="Arial"/>
                <w:b/>
                <w:sz w:val="24"/>
              </w:rPr>
            </w:pPr>
          </w:p>
        </w:tc>
      </w:tr>
      <w:tr w:rsidR="00F8325E" w:rsidTr="00F8325E">
        <w:tc>
          <w:tcPr>
            <w:tcW w:w="9445" w:type="dxa"/>
          </w:tcPr>
          <w:p w:rsidR="00F8325E" w:rsidRDefault="00F8325E" w:rsidP="004034DF">
            <w:pPr>
              <w:spacing w:before="60" w:after="60"/>
              <w:jc w:val="both"/>
              <w:rPr>
                <w:rFonts w:ascii="Arial" w:hAnsi="Arial" w:cs="Arial"/>
                <w:sz w:val="24"/>
                <w:u w:val="single"/>
              </w:rPr>
            </w:pPr>
            <w:r>
              <w:rPr>
                <w:rFonts w:ascii="Arial" w:hAnsi="Arial" w:cs="Arial"/>
                <w:sz w:val="24"/>
                <w:u w:val="single"/>
              </w:rPr>
              <w:t>Shoda projektu se způsobilými aktivitami:</w:t>
            </w:r>
          </w:p>
          <w:p w:rsidR="00F8325E" w:rsidRPr="00661CA4" w:rsidRDefault="00D0420B" w:rsidP="00661CA4">
            <w:pPr>
              <w:spacing w:before="60" w:after="60"/>
              <w:jc w:val="both"/>
              <w:rPr>
                <w:rFonts w:ascii="Arial" w:hAnsi="Arial" w:cs="Arial"/>
                <w:sz w:val="24"/>
              </w:rPr>
            </w:pPr>
            <w:sdt>
              <w:sdtPr>
                <w:rPr>
                  <w:rFonts w:ascii="MS Gothic" w:eastAsia="MS Gothic" w:hAnsi="MS Gothic" w:cs="Arial"/>
                  <w:b/>
                  <w:sz w:val="24"/>
                  <w:lang w:val="en-US"/>
                </w:rPr>
                <w:id w:val="-1988773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325E">
                  <w:rPr>
                    <w:rFonts w:ascii="MS Gothic" w:eastAsia="MS Gothic" w:hAnsi="MS Gothic" w:cs="Arial" w:hint="eastAsia"/>
                    <w:b/>
                    <w:sz w:val="24"/>
                    <w:lang w:val="en-US"/>
                  </w:rPr>
                  <w:t>☐</w:t>
                </w:r>
              </w:sdtContent>
            </w:sdt>
            <w:r w:rsidR="00F8325E" w:rsidRPr="00661CA4">
              <w:rPr>
                <w:rFonts w:ascii="Arial" w:hAnsi="Arial" w:cs="Arial"/>
                <w:sz w:val="24"/>
              </w:rPr>
              <w:t xml:space="preserve"> produktivní investice do malých a středních podniků, včetně mikropodniků a začínajících podniků, vedoucí k hospodářské diverzifikaci, modernizaci a přeměně;</w:t>
            </w:r>
          </w:p>
          <w:p w:rsidR="00F8325E" w:rsidRPr="00661CA4" w:rsidRDefault="00D0420B" w:rsidP="00661CA4">
            <w:pPr>
              <w:spacing w:before="60" w:after="60"/>
              <w:ind w:left="-14"/>
              <w:jc w:val="both"/>
              <w:rPr>
                <w:rFonts w:ascii="Arial" w:hAnsi="Arial" w:cs="Arial"/>
                <w:sz w:val="24"/>
              </w:rPr>
            </w:pPr>
            <w:sdt>
              <w:sdtPr>
                <w:rPr>
                  <w:rFonts w:ascii="MS Gothic" w:eastAsia="MS Gothic" w:hAnsi="MS Gothic" w:cs="Arial"/>
                  <w:b/>
                  <w:sz w:val="24"/>
                  <w:lang w:val="en-US"/>
                </w:rPr>
                <w:id w:val="-21248356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5026">
                  <w:rPr>
                    <w:rFonts w:ascii="MS Gothic" w:eastAsia="MS Gothic" w:hAnsi="MS Gothic" w:cs="Arial" w:hint="eastAsia"/>
                    <w:b/>
                    <w:sz w:val="24"/>
                    <w:lang w:val="en-US"/>
                  </w:rPr>
                  <w:t>☐</w:t>
                </w:r>
              </w:sdtContent>
            </w:sdt>
            <w:r w:rsidR="00F8325E" w:rsidRPr="00661CA4">
              <w:rPr>
                <w:rFonts w:ascii="Arial" w:hAnsi="Arial" w:cs="Arial"/>
                <w:sz w:val="24"/>
              </w:rPr>
              <w:t xml:space="preserve"> investice do zakládání nových firem, mimo jiné prostřednictvím podnikatelských inkubátorů a poradenských služeb, vedoucí k vytváření pracovních míst;</w:t>
            </w:r>
          </w:p>
          <w:p w:rsidR="00F8325E" w:rsidRPr="00661CA4" w:rsidRDefault="00D0420B" w:rsidP="00661CA4">
            <w:pPr>
              <w:spacing w:before="60" w:after="60"/>
              <w:ind w:left="-14"/>
              <w:jc w:val="both"/>
              <w:rPr>
                <w:rFonts w:ascii="Arial" w:hAnsi="Arial" w:cs="Arial"/>
                <w:sz w:val="24"/>
              </w:rPr>
            </w:pPr>
            <w:sdt>
              <w:sdtPr>
                <w:rPr>
                  <w:rFonts w:ascii="MS Gothic" w:eastAsia="MS Gothic" w:hAnsi="MS Gothic" w:cs="Arial"/>
                  <w:b/>
                  <w:sz w:val="24"/>
                  <w:lang w:val="en-US"/>
                </w:rPr>
                <w:id w:val="-105292836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7F9F">
                  <w:rPr>
                    <w:rFonts w:ascii="MS Gothic" w:eastAsia="MS Gothic" w:hAnsi="MS Gothic" w:cs="Arial" w:hint="eastAsia"/>
                    <w:b/>
                    <w:sz w:val="24"/>
                    <w:lang w:val="en-US"/>
                  </w:rPr>
                  <w:t>☒</w:t>
                </w:r>
              </w:sdtContent>
            </w:sdt>
            <w:r w:rsidR="00F8325E" w:rsidRPr="00661CA4">
              <w:rPr>
                <w:rFonts w:ascii="Arial" w:hAnsi="Arial" w:cs="Arial"/>
                <w:sz w:val="24"/>
              </w:rPr>
              <w:t xml:space="preserve"> investice do výzkumných a inovačních činností, mimo jiné ze strany univerzit a veřejných výzkumných institucí, a podpora přenosu pokročilých technologií;</w:t>
            </w:r>
          </w:p>
          <w:p w:rsidR="00F8325E" w:rsidRPr="00661CA4" w:rsidRDefault="00D0420B" w:rsidP="00661CA4">
            <w:pPr>
              <w:spacing w:before="60" w:after="60"/>
              <w:ind w:left="-14"/>
              <w:jc w:val="both"/>
              <w:rPr>
                <w:rFonts w:ascii="Arial" w:hAnsi="Arial" w:cs="Arial"/>
                <w:sz w:val="24"/>
              </w:rPr>
            </w:pPr>
            <w:sdt>
              <w:sdtPr>
                <w:rPr>
                  <w:rFonts w:ascii="MS Gothic" w:eastAsia="MS Gothic" w:hAnsi="MS Gothic" w:cs="Arial"/>
                  <w:b/>
                  <w:sz w:val="24"/>
                  <w:lang w:val="en-US"/>
                </w:rPr>
                <w:id w:val="11705977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325E" w:rsidRPr="00661CA4">
                  <w:rPr>
                    <w:rFonts w:ascii="MS Gothic" w:eastAsia="MS Gothic" w:hAnsi="MS Gothic" w:cs="Arial" w:hint="eastAsia"/>
                    <w:b/>
                    <w:sz w:val="24"/>
                    <w:lang w:val="en-US"/>
                  </w:rPr>
                  <w:t>☐</w:t>
                </w:r>
              </w:sdtContent>
            </w:sdt>
            <w:r w:rsidR="00F8325E" w:rsidRPr="00661CA4">
              <w:rPr>
                <w:rFonts w:ascii="Arial" w:hAnsi="Arial" w:cs="Arial"/>
                <w:sz w:val="24"/>
              </w:rPr>
              <w:t xml:space="preserve"> investice do zavádění technologií a také do systémů a infrastruktur pro cenově dostupnou čistou energii, včetně technologií skladování energie, a do snižování emisí skleníkových plynů;</w:t>
            </w:r>
          </w:p>
          <w:p w:rsidR="00F8325E" w:rsidRPr="00661CA4" w:rsidRDefault="00D0420B" w:rsidP="00661CA4">
            <w:pPr>
              <w:spacing w:before="60" w:after="60"/>
              <w:ind w:left="-14"/>
              <w:jc w:val="both"/>
              <w:rPr>
                <w:rFonts w:ascii="Arial" w:hAnsi="Arial" w:cs="Arial"/>
                <w:sz w:val="24"/>
              </w:rPr>
            </w:pPr>
            <w:sdt>
              <w:sdtPr>
                <w:rPr>
                  <w:rFonts w:ascii="MS Gothic" w:eastAsia="MS Gothic" w:hAnsi="MS Gothic" w:cs="Arial"/>
                  <w:b/>
                  <w:sz w:val="24"/>
                  <w:lang w:val="en-US"/>
                </w:rPr>
                <w:id w:val="-1729674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325E" w:rsidRPr="00661CA4">
                  <w:rPr>
                    <w:rFonts w:ascii="MS Gothic" w:eastAsia="MS Gothic" w:hAnsi="MS Gothic" w:cs="Arial" w:hint="eastAsia"/>
                    <w:b/>
                    <w:sz w:val="24"/>
                    <w:lang w:val="en-US"/>
                  </w:rPr>
                  <w:t>☐</w:t>
                </w:r>
              </w:sdtContent>
            </w:sdt>
            <w:r w:rsidR="00F8325E" w:rsidRPr="00661CA4">
              <w:rPr>
                <w:rFonts w:ascii="Arial" w:hAnsi="Arial" w:cs="Arial"/>
                <w:sz w:val="24"/>
              </w:rPr>
              <w:t xml:space="preserve"> investice do obnovitelné energie v souladu se směrnicí o obnovitelných zdrojích energie (EU) 2018/2001, včetně kritérií udržitelnosti v ní stanovených, a do energetické účinnosti, mimo jiné za účelem snižování energetické chudoby;</w:t>
            </w:r>
          </w:p>
          <w:p w:rsidR="00F8325E" w:rsidRPr="00661CA4" w:rsidRDefault="00D0420B" w:rsidP="00661CA4">
            <w:pPr>
              <w:spacing w:before="60" w:after="60"/>
              <w:ind w:left="-14"/>
              <w:jc w:val="both"/>
              <w:rPr>
                <w:rFonts w:ascii="Arial" w:hAnsi="Arial" w:cs="Arial"/>
                <w:sz w:val="24"/>
              </w:rPr>
            </w:pPr>
            <w:sdt>
              <w:sdtPr>
                <w:rPr>
                  <w:rFonts w:ascii="MS Gothic" w:eastAsia="MS Gothic" w:hAnsi="MS Gothic" w:cs="Arial"/>
                  <w:b/>
                  <w:sz w:val="24"/>
                  <w:lang w:val="en-US"/>
                </w:rPr>
                <w:id w:val="-12937382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325E" w:rsidRPr="00661CA4">
                  <w:rPr>
                    <w:rFonts w:ascii="MS Gothic" w:eastAsia="MS Gothic" w:hAnsi="MS Gothic" w:cs="Arial" w:hint="eastAsia"/>
                    <w:b/>
                    <w:sz w:val="24"/>
                    <w:lang w:val="en-US"/>
                  </w:rPr>
                  <w:t>☐</w:t>
                </w:r>
              </w:sdtContent>
            </w:sdt>
            <w:r w:rsidR="00F8325E" w:rsidRPr="00661CA4">
              <w:rPr>
                <w:rFonts w:ascii="Arial" w:hAnsi="Arial" w:cs="Arial"/>
                <w:sz w:val="24"/>
              </w:rPr>
              <w:t xml:space="preserve"> investice do inteligentní a udržitelné místní mobility, včetně dekarbonizace místního dopravního sektoru a jeho infrastruktury;</w:t>
            </w:r>
          </w:p>
          <w:p w:rsidR="00F8325E" w:rsidRPr="00661CA4" w:rsidRDefault="00D0420B" w:rsidP="00661CA4">
            <w:pPr>
              <w:spacing w:before="60" w:after="60"/>
              <w:ind w:left="-14"/>
              <w:jc w:val="both"/>
              <w:rPr>
                <w:rFonts w:ascii="Arial" w:hAnsi="Arial" w:cs="Arial"/>
                <w:sz w:val="24"/>
              </w:rPr>
            </w:pPr>
            <w:sdt>
              <w:sdtPr>
                <w:rPr>
                  <w:rFonts w:ascii="MS Gothic" w:eastAsia="MS Gothic" w:hAnsi="MS Gothic" w:cs="Arial"/>
                  <w:b/>
                  <w:sz w:val="24"/>
                  <w:lang w:val="en-US"/>
                </w:rPr>
                <w:id w:val="14548265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325E" w:rsidRPr="00661CA4">
                  <w:rPr>
                    <w:rFonts w:ascii="MS Gothic" w:eastAsia="MS Gothic" w:hAnsi="MS Gothic" w:cs="Arial" w:hint="eastAsia"/>
                    <w:b/>
                    <w:sz w:val="24"/>
                    <w:lang w:val="en-US"/>
                  </w:rPr>
                  <w:t>☐</w:t>
                </w:r>
              </w:sdtContent>
            </w:sdt>
            <w:r w:rsidR="00F8325E" w:rsidRPr="00661CA4">
              <w:rPr>
                <w:rFonts w:ascii="Arial" w:hAnsi="Arial" w:cs="Arial"/>
                <w:sz w:val="24"/>
              </w:rPr>
              <w:t xml:space="preserve"> investice do obnovy a modernizace sítí dálkového vytápění s cílem zlepšit energetickou účinnost systémů dálkového vytápění a investice do výroby tepla za předpokladu, že budou zásobovány výhradně obnovitelnými zdroji energie;</w:t>
            </w:r>
          </w:p>
          <w:p w:rsidR="00F8325E" w:rsidRPr="00661CA4" w:rsidRDefault="00D0420B" w:rsidP="00661CA4">
            <w:pPr>
              <w:spacing w:before="60" w:after="60"/>
              <w:ind w:left="-14"/>
              <w:jc w:val="both"/>
              <w:rPr>
                <w:rFonts w:ascii="Arial" w:hAnsi="Arial" w:cs="Arial"/>
                <w:sz w:val="24"/>
              </w:rPr>
            </w:pPr>
            <w:sdt>
              <w:sdtPr>
                <w:rPr>
                  <w:rFonts w:ascii="MS Gothic" w:eastAsia="MS Gothic" w:hAnsi="MS Gothic" w:cs="Arial"/>
                  <w:b/>
                  <w:sz w:val="24"/>
                  <w:lang w:val="en-US"/>
                </w:rPr>
                <w:id w:val="10749367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325E" w:rsidRPr="00661CA4">
                  <w:rPr>
                    <w:rFonts w:ascii="MS Gothic" w:eastAsia="MS Gothic" w:hAnsi="MS Gothic" w:cs="Arial" w:hint="eastAsia"/>
                    <w:b/>
                    <w:sz w:val="24"/>
                    <w:lang w:val="en-US"/>
                  </w:rPr>
                  <w:t>☐</w:t>
                </w:r>
              </w:sdtContent>
            </w:sdt>
            <w:r w:rsidR="00F8325E" w:rsidRPr="00661CA4">
              <w:rPr>
                <w:rFonts w:ascii="Arial" w:hAnsi="Arial" w:cs="Arial"/>
                <w:sz w:val="24"/>
              </w:rPr>
              <w:t xml:space="preserve"> investice do digitalizace, digitální inovace a digitální konektivity;</w:t>
            </w:r>
          </w:p>
          <w:p w:rsidR="00F8325E" w:rsidRPr="00661CA4" w:rsidRDefault="00D0420B" w:rsidP="00661CA4">
            <w:pPr>
              <w:spacing w:before="60" w:after="60"/>
              <w:ind w:left="-14"/>
              <w:jc w:val="both"/>
              <w:rPr>
                <w:rFonts w:ascii="Arial" w:hAnsi="Arial" w:cs="Arial"/>
                <w:sz w:val="24"/>
              </w:rPr>
            </w:pPr>
            <w:sdt>
              <w:sdtPr>
                <w:rPr>
                  <w:rFonts w:ascii="MS Gothic" w:eastAsia="MS Gothic" w:hAnsi="MS Gothic" w:cs="Arial"/>
                  <w:b/>
                  <w:sz w:val="24"/>
                  <w:lang w:val="en-US"/>
                </w:rPr>
                <w:id w:val="15374627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325E" w:rsidRPr="00661CA4">
                  <w:rPr>
                    <w:rFonts w:ascii="MS Gothic" w:eastAsia="MS Gothic" w:hAnsi="MS Gothic" w:cs="Arial" w:hint="eastAsia"/>
                    <w:b/>
                    <w:sz w:val="24"/>
                    <w:lang w:val="en-US"/>
                  </w:rPr>
                  <w:t>☐</w:t>
                </w:r>
              </w:sdtContent>
            </w:sdt>
            <w:r w:rsidR="00F8325E" w:rsidRPr="00661CA4">
              <w:rPr>
                <w:rFonts w:ascii="Arial" w:hAnsi="Arial" w:cs="Arial"/>
                <w:sz w:val="24"/>
              </w:rPr>
              <w:t xml:space="preserve"> investice do regenerace a dekontaminace brownfields, obnovy půdy a případně včetně zelené infrastruktury a projektů přeměny účelu, s přihlédnutím k zásadě „znečišťovatel platí“;</w:t>
            </w:r>
          </w:p>
          <w:p w:rsidR="00F8325E" w:rsidRPr="00661CA4" w:rsidRDefault="00D0420B" w:rsidP="00661CA4">
            <w:pPr>
              <w:spacing w:before="60" w:after="60"/>
              <w:ind w:left="-14"/>
              <w:jc w:val="both"/>
              <w:rPr>
                <w:rFonts w:ascii="Arial" w:hAnsi="Arial" w:cs="Arial"/>
                <w:sz w:val="24"/>
              </w:rPr>
            </w:pPr>
            <w:sdt>
              <w:sdtPr>
                <w:rPr>
                  <w:rFonts w:ascii="MS Gothic" w:eastAsia="MS Gothic" w:hAnsi="MS Gothic" w:cs="Arial"/>
                  <w:b/>
                  <w:sz w:val="24"/>
                  <w:lang w:val="en-US"/>
                </w:rPr>
                <w:id w:val="-4277309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325E" w:rsidRPr="00661CA4">
                  <w:rPr>
                    <w:rFonts w:ascii="MS Gothic" w:eastAsia="MS Gothic" w:hAnsi="MS Gothic" w:cs="Arial" w:hint="eastAsia"/>
                    <w:b/>
                    <w:sz w:val="24"/>
                    <w:lang w:val="en-US"/>
                  </w:rPr>
                  <w:t>☐</w:t>
                </w:r>
              </w:sdtContent>
            </w:sdt>
            <w:r w:rsidR="00F8325E" w:rsidRPr="00661CA4">
              <w:rPr>
                <w:rFonts w:ascii="Arial" w:hAnsi="Arial" w:cs="Arial"/>
                <w:sz w:val="24"/>
              </w:rPr>
              <w:t xml:space="preserve"> investice do posílení oběhového hospodářství, mimo jiné prostřednictvím předcházení vzniku odpadů, jejich snižování, účinného využívání zdrojů, opětovného použití, oprav a recyklace;</w:t>
            </w:r>
          </w:p>
          <w:p w:rsidR="00F8325E" w:rsidRPr="00661CA4" w:rsidRDefault="00D0420B" w:rsidP="00661CA4">
            <w:pPr>
              <w:spacing w:before="60" w:after="60"/>
              <w:ind w:left="-14"/>
              <w:jc w:val="both"/>
              <w:rPr>
                <w:rFonts w:ascii="Arial" w:hAnsi="Arial" w:cs="Arial"/>
                <w:sz w:val="24"/>
              </w:rPr>
            </w:pPr>
            <w:sdt>
              <w:sdtPr>
                <w:rPr>
                  <w:rFonts w:ascii="MS Gothic" w:eastAsia="MS Gothic" w:hAnsi="MS Gothic" w:cs="Arial"/>
                  <w:b/>
                  <w:sz w:val="24"/>
                  <w:lang w:val="en-US"/>
                </w:rPr>
                <w:id w:val="-18452582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7F9F">
                  <w:rPr>
                    <w:rFonts w:ascii="MS Gothic" w:eastAsia="MS Gothic" w:hAnsi="MS Gothic" w:cs="Arial" w:hint="eastAsia"/>
                    <w:b/>
                    <w:sz w:val="24"/>
                    <w:lang w:val="en-US"/>
                  </w:rPr>
                  <w:t>☒</w:t>
                </w:r>
              </w:sdtContent>
            </w:sdt>
            <w:r w:rsidR="00F8325E" w:rsidRPr="00661CA4">
              <w:rPr>
                <w:rFonts w:ascii="Arial" w:hAnsi="Arial" w:cs="Arial"/>
                <w:sz w:val="24"/>
              </w:rPr>
              <w:t xml:space="preserve"> zvyšování kvalifikace a rekvalifikace pracovníků a uchazečů o zaměstnání;</w:t>
            </w:r>
          </w:p>
          <w:p w:rsidR="00F8325E" w:rsidRPr="00661CA4" w:rsidRDefault="00D0420B" w:rsidP="00661CA4">
            <w:pPr>
              <w:spacing w:before="60" w:after="60"/>
              <w:ind w:left="-14"/>
              <w:jc w:val="both"/>
              <w:rPr>
                <w:rFonts w:ascii="Arial" w:hAnsi="Arial" w:cs="Arial"/>
                <w:sz w:val="24"/>
              </w:rPr>
            </w:pPr>
            <w:sdt>
              <w:sdtPr>
                <w:rPr>
                  <w:rFonts w:ascii="MS Gothic" w:eastAsia="MS Gothic" w:hAnsi="MS Gothic" w:cs="Arial"/>
                  <w:b/>
                  <w:sz w:val="24"/>
                  <w:lang w:val="en-US"/>
                </w:rPr>
                <w:id w:val="-17991337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325E" w:rsidRPr="00661CA4">
                  <w:rPr>
                    <w:rFonts w:ascii="MS Gothic" w:eastAsia="MS Gothic" w:hAnsi="MS Gothic" w:cs="Arial" w:hint="eastAsia"/>
                    <w:b/>
                    <w:sz w:val="24"/>
                    <w:lang w:val="en-US"/>
                  </w:rPr>
                  <w:t>☐</w:t>
                </w:r>
              </w:sdtContent>
            </w:sdt>
            <w:r w:rsidR="00F8325E" w:rsidRPr="00661CA4">
              <w:rPr>
                <w:rFonts w:ascii="Arial" w:hAnsi="Arial" w:cs="Arial"/>
                <w:sz w:val="24"/>
              </w:rPr>
              <w:t xml:space="preserve"> pomoc při hledání zaměstnání pro uchazeče o zaměstnání;</w:t>
            </w:r>
          </w:p>
          <w:p w:rsidR="00F8325E" w:rsidRPr="00661CA4" w:rsidRDefault="00D0420B" w:rsidP="00661CA4">
            <w:pPr>
              <w:spacing w:before="60" w:after="60"/>
              <w:ind w:left="-14"/>
              <w:jc w:val="both"/>
              <w:rPr>
                <w:rFonts w:ascii="Arial" w:hAnsi="Arial" w:cs="Arial"/>
                <w:sz w:val="24"/>
              </w:rPr>
            </w:pPr>
            <w:sdt>
              <w:sdtPr>
                <w:rPr>
                  <w:rFonts w:ascii="MS Gothic" w:eastAsia="MS Gothic" w:hAnsi="MS Gothic" w:cs="Arial"/>
                  <w:b/>
                  <w:sz w:val="24"/>
                  <w:lang w:val="en-US"/>
                </w:rPr>
                <w:id w:val="-10477597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325E" w:rsidRPr="00661CA4">
                  <w:rPr>
                    <w:rFonts w:ascii="MS Gothic" w:eastAsia="MS Gothic" w:hAnsi="MS Gothic" w:cs="Arial" w:hint="eastAsia"/>
                    <w:b/>
                    <w:sz w:val="24"/>
                    <w:lang w:val="en-US"/>
                  </w:rPr>
                  <w:t>☐</w:t>
                </w:r>
              </w:sdtContent>
            </w:sdt>
            <w:r w:rsidR="00F8325E" w:rsidRPr="00661CA4">
              <w:rPr>
                <w:rFonts w:ascii="Arial" w:hAnsi="Arial" w:cs="Arial"/>
                <w:sz w:val="24"/>
              </w:rPr>
              <w:t xml:space="preserve"> aktivní začleňování uchazečů o zaměstnání;</w:t>
            </w:r>
          </w:p>
          <w:p w:rsidR="00F8325E" w:rsidRPr="00661CA4" w:rsidRDefault="00D0420B" w:rsidP="00661CA4">
            <w:pPr>
              <w:spacing w:before="60" w:after="60"/>
              <w:ind w:left="-14"/>
              <w:jc w:val="both"/>
              <w:rPr>
                <w:rFonts w:ascii="Arial" w:hAnsi="Arial" w:cs="Arial"/>
                <w:sz w:val="24"/>
              </w:rPr>
            </w:pPr>
            <w:sdt>
              <w:sdtPr>
                <w:rPr>
                  <w:rFonts w:ascii="MS Gothic" w:eastAsia="MS Gothic" w:hAnsi="MS Gothic" w:cs="Arial"/>
                  <w:b/>
                  <w:sz w:val="24"/>
                  <w:lang w:val="en-US"/>
                </w:rPr>
                <w:id w:val="1320848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325E" w:rsidRPr="00661CA4">
                  <w:rPr>
                    <w:rFonts w:ascii="MS Gothic" w:eastAsia="MS Gothic" w:hAnsi="MS Gothic" w:cs="Arial" w:hint="eastAsia"/>
                    <w:b/>
                    <w:sz w:val="24"/>
                    <w:lang w:val="en-US"/>
                  </w:rPr>
                  <w:t>☐</w:t>
                </w:r>
              </w:sdtContent>
            </w:sdt>
            <w:r w:rsidR="00F8325E" w:rsidRPr="00661CA4">
              <w:rPr>
                <w:rFonts w:ascii="Arial" w:hAnsi="Arial" w:cs="Arial"/>
                <w:sz w:val="24"/>
              </w:rPr>
              <w:t xml:space="preserve"> technická pomoc;</w:t>
            </w:r>
          </w:p>
          <w:p w:rsidR="00F8325E" w:rsidRDefault="00D0420B" w:rsidP="00661CA4">
            <w:pPr>
              <w:spacing w:before="60" w:after="60"/>
              <w:ind w:left="-14"/>
              <w:jc w:val="both"/>
              <w:rPr>
                <w:rFonts w:ascii="Arial" w:hAnsi="Arial" w:cs="Arial"/>
                <w:sz w:val="24"/>
              </w:rPr>
            </w:pPr>
            <w:sdt>
              <w:sdtPr>
                <w:rPr>
                  <w:rFonts w:ascii="MS Gothic" w:eastAsia="MS Gothic" w:hAnsi="MS Gothic" w:cs="Arial"/>
                  <w:b/>
                  <w:sz w:val="24"/>
                  <w:lang w:val="en-US"/>
                </w:rPr>
                <w:id w:val="-1130467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325E" w:rsidRPr="00661CA4">
                  <w:rPr>
                    <w:rFonts w:ascii="MS Gothic" w:eastAsia="MS Gothic" w:hAnsi="MS Gothic" w:cs="Arial" w:hint="eastAsia"/>
                    <w:b/>
                    <w:sz w:val="24"/>
                    <w:lang w:val="en-US"/>
                  </w:rPr>
                  <w:t>☐</w:t>
                </w:r>
              </w:sdtContent>
            </w:sdt>
            <w:r w:rsidR="00F8325E" w:rsidRPr="00661CA4">
              <w:rPr>
                <w:rFonts w:ascii="Arial" w:hAnsi="Arial" w:cs="Arial"/>
                <w:sz w:val="24"/>
              </w:rPr>
              <w:t xml:space="preserve"> další činnosti v oblasti vzdělávání a sociálního začleňování včetně, je-li to odůvodněno, infrastruktury pro účely školicích středisek, zařízení péče o děti a seniory, jak je uvedeno v územních plánech spravedlivé transformace v souladu s článkem 11 nařízení o Fondu spravedlivého přechodu.</w:t>
            </w:r>
          </w:p>
          <w:p w:rsidR="0029017D" w:rsidRDefault="0029017D" w:rsidP="00661CA4">
            <w:pPr>
              <w:spacing w:before="60" w:after="60"/>
              <w:ind w:left="-14"/>
              <w:jc w:val="both"/>
              <w:rPr>
                <w:rFonts w:ascii="Arial" w:hAnsi="Arial" w:cs="Arial"/>
                <w:sz w:val="24"/>
              </w:rPr>
            </w:pPr>
          </w:p>
          <w:p w:rsidR="00C25026" w:rsidRPr="00661CA4" w:rsidRDefault="00C25026" w:rsidP="00661CA4">
            <w:pPr>
              <w:spacing w:before="60" w:after="60"/>
              <w:ind w:left="-14"/>
              <w:jc w:val="both"/>
              <w:rPr>
                <w:rFonts w:ascii="Arial" w:hAnsi="Arial" w:cs="Arial"/>
                <w:sz w:val="24"/>
              </w:rPr>
            </w:pPr>
          </w:p>
        </w:tc>
      </w:tr>
    </w:tbl>
    <w:p w:rsidR="007F0941" w:rsidRDefault="007F0941">
      <w:pPr>
        <w:jc w:val="both"/>
        <w:rPr>
          <w:rFonts w:ascii="Arial" w:hAnsi="Arial" w:cs="Arial"/>
        </w:rPr>
      </w:pPr>
    </w:p>
    <w:tbl>
      <w:tblPr>
        <w:tblStyle w:val="Mkatabulky"/>
        <w:tblW w:w="9445" w:type="dxa"/>
        <w:tblLook w:val="04A0" w:firstRow="1" w:lastRow="0" w:firstColumn="1" w:lastColumn="0" w:noHBand="0" w:noVBand="1"/>
      </w:tblPr>
      <w:tblGrid>
        <w:gridCol w:w="9445"/>
      </w:tblGrid>
      <w:tr w:rsidR="007F0941" w:rsidTr="00661CA4">
        <w:tc>
          <w:tcPr>
            <w:tcW w:w="9445" w:type="dxa"/>
            <w:shd w:val="clear" w:color="auto" w:fill="D9D9D9" w:themeFill="background1" w:themeFillShade="D9"/>
          </w:tcPr>
          <w:p w:rsidR="003852DD" w:rsidRDefault="003852DD" w:rsidP="003852DD">
            <w:pPr>
              <w:jc w:val="both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Sladění s požadavky článků 8 a 11 pro produktivní investice jiných než malých a středních podniků</w:t>
            </w:r>
          </w:p>
          <w:p w:rsidR="003852DD" w:rsidRDefault="003852DD" w:rsidP="003852DD">
            <w:pPr>
              <w:jc w:val="both"/>
              <w:rPr>
                <w:rFonts w:ascii="Arial" w:hAnsi="Arial" w:cs="Arial"/>
                <w:b/>
                <w:sz w:val="24"/>
              </w:rPr>
            </w:pPr>
          </w:p>
          <w:p w:rsidR="003852DD" w:rsidRPr="00C061CB" w:rsidRDefault="003852DD" w:rsidP="003852DD">
            <w:pPr>
              <w:jc w:val="both"/>
              <w:rPr>
                <w:i/>
                <w:lang w:val="en-US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t>článek 8“</w:t>
            </w:r>
            <w:r w:rsidRPr="00C061CB">
              <w:rPr>
                <w:i/>
                <w:lang w:val="en-US"/>
              </w:rPr>
              <w:t>JTF může v oblastech označených jako podporované oblasti pro účely čl. 107 odst. 3 písm. a) ac) SFEU podporovat produktivní investice do jiných podniků než malých a středních podniků za předpokladu, že tyto investice byly schváleny jako součást územní plán spravedlivého přechodu na základě informací požadovaných podle čl. 11 odst. 2 písm. h) tohoto nařízení. Tyto investice jsou způsobilé pouze tehdy, jsou-li nezbytné pro provádění územního plánu spravedlivého přechodu, pokud přispívají k přechodu na klimaticky neutrální hospodářství Unie do roku 2050 a k dosažení souvisejících cílů v oblasti životního prostředí, pokud je jejich podpora nezbytná pro vytváření pracovních míst na identifikovaném území, a pokud nevedou k přemístění, jak je definováno v čl. 2 bodě 27 nařízení (EU) 2021/1060..“</w:t>
            </w:r>
          </w:p>
          <w:p w:rsidR="003852DD" w:rsidRDefault="003852DD" w:rsidP="003852DD">
            <w:pPr>
              <w:jc w:val="both"/>
              <w:rPr>
                <w:rFonts w:ascii="Arial" w:hAnsi="Arial" w:cs="Arial"/>
                <w:b/>
                <w:i/>
                <w:sz w:val="24"/>
              </w:rPr>
            </w:pPr>
          </w:p>
          <w:p w:rsidR="003852DD" w:rsidRPr="00C25026" w:rsidRDefault="003852DD" w:rsidP="003852DD">
            <w:pPr>
              <w:jc w:val="both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t>11 odst. 2 písm. h) “</w:t>
            </w:r>
            <w:r w:rsidRPr="00FB0EFD">
              <w:rPr>
                <w:i/>
              </w:rPr>
              <w:t>pokud je poskytována podpora produktivním investicím do jiných podniků než malých a středních podniků, úplný seznam těchto operací a podniků a zdůvodnění nezbytnosti takové podpory prostřednictvím analýzy mezer prokazující, že očekávaná ztráta pracovních míst by převýšila očekávaný počet pracovních míst vytvořených v absence investice;</w:t>
            </w:r>
          </w:p>
          <w:p w:rsidR="007F0941" w:rsidRDefault="00C25026" w:rsidP="00CA5EF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 </w:t>
            </w:r>
          </w:p>
        </w:tc>
      </w:tr>
      <w:tr w:rsidR="007F0941" w:rsidTr="00661CA4">
        <w:tc>
          <w:tcPr>
            <w:tcW w:w="9445" w:type="dxa"/>
          </w:tcPr>
          <w:p w:rsidR="007F0941" w:rsidRDefault="007F0941">
            <w:pPr>
              <w:jc w:val="both"/>
              <w:rPr>
                <w:rFonts w:ascii="Arial" w:hAnsi="Arial" w:cs="Arial"/>
              </w:rPr>
            </w:pPr>
          </w:p>
          <w:p w:rsidR="007F0941" w:rsidRDefault="0028702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N/A Žadatel není MSP.</w:t>
            </w:r>
          </w:p>
          <w:p w:rsidR="007F0941" w:rsidRDefault="007F0941">
            <w:pPr>
              <w:jc w:val="both"/>
              <w:rPr>
                <w:rFonts w:ascii="Arial" w:hAnsi="Arial" w:cs="Arial"/>
              </w:rPr>
            </w:pPr>
          </w:p>
        </w:tc>
      </w:tr>
    </w:tbl>
    <w:p w:rsidR="007F0941" w:rsidRDefault="007F0941">
      <w:pPr>
        <w:jc w:val="both"/>
        <w:rPr>
          <w:rFonts w:ascii="Arial" w:hAnsi="Arial" w:cs="Arial"/>
        </w:rPr>
      </w:pPr>
    </w:p>
    <w:p w:rsidR="007F0941" w:rsidRDefault="007F0941">
      <w:pPr>
        <w:jc w:val="both"/>
      </w:pPr>
    </w:p>
    <w:tbl>
      <w:tblPr>
        <w:tblStyle w:val="Mkatabulky"/>
        <w:tblW w:w="9445" w:type="dxa"/>
        <w:tblLook w:val="04A0" w:firstRow="1" w:lastRow="0" w:firstColumn="1" w:lastColumn="0" w:noHBand="0" w:noVBand="1"/>
      </w:tblPr>
      <w:tblGrid>
        <w:gridCol w:w="9445"/>
      </w:tblGrid>
      <w:tr w:rsidR="00D902BA" w:rsidTr="006F4D89">
        <w:tc>
          <w:tcPr>
            <w:tcW w:w="9445" w:type="dxa"/>
            <w:shd w:val="clear" w:color="auto" w:fill="D9D9D9" w:themeFill="background1" w:themeFillShade="D9"/>
          </w:tcPr>
          <w:p w:rsidR="00D902BA" w:rsidRDefault="00D902B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4"/>
              </w:rPr>
              <w:lastRenderedPageBreak/>
              <w:t>doporučení JASPERS (pokud existují)</w:t>
            </w:r>
          </w:p>
        </w:tc>
      </w:tr>
      <w:tr w:rsidR="00D902BA" w:rsidTr="006F4D89">
        <w:tc>
          <w:tcPr>
            <w:tcW w:w="9445" w:type="dxa"/>
          </w:tcPr>
          <w:p w:rsidR="00D902BA" w:rsidRDefault="00D902BA">
            <w:pPr>
              <w:jc w:val="both"/>
              <w:rPr>
                <w:rFonts w:ascii="Arial" w:hAnsi="Arial" w:cs="Arial"/>
              </w:rPr>
            </w:pPr>
          </w:p>
          <w:p w:rsidR="001F76C6" w:rsidRDefault="001F76C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Projekt se jeví jako způsobilý podle specifického cíle (článek 2) nařízení o JTF. Podpoří stávající sektor poskytováním pracovní síly, která má aktuální znalosti a zkušenosti s výrobou, produkty a požadavky ve sklářském a keramickém průmyslu. Projekt přímo prospěje regionálním společnostem, ekonomice a pomůže výrobě posunout se </w:t>
            </w:r>
            <w:proofErr w:type="spellStart"/>
            <w:r>
              <w:rPr>
                <w:rFonts w:ascii="Arial" w:hAnsi="Arial" w:cs="Arial"/>
              </w:rPr>
              <w:t>směrem</w:t>
            </w:r>
            <w:proofErr w:type="spellEnd"/>
            <w:r>
              <w:rPr>
                <w:rFonts w:ascii="Arial" w:hAnsi="Arial" w:cs="Arial"/>
              </w:rPr>
              <w:t xml:space="preserve"> k </w:t>
            </w:r>
            <w:proofErr w:type="spellStart"/>
            <w:r>
              <w:rPr>
                <w:rFonts w:ascii="Arial" w:hAnsi="Arial" w:cs="Arial"/>
              </w:rPr>
              <w:t>ekologičtějším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postupům</w:t>
            </w:r>
            <w:proofErr w:type="spellEnd"/>
            <w:r>
              <w:rPr>
                <w:rFonts w:ascii="Arial" w:hAnsi="Arial" w:cs="Arial"/>
              </w:rPr>
              <w:t>.</w:t>
            </w:r>
          </w:p>
          <w:p w:rsidR="001F76C6" w:rsidRDefault="001F76C6">
            <w:pPr>
              <w:jc w:val="both"/>
              <w:rPr>
                <w:rFonts w:ascii="Arial" w:hAnsi="Arial" w:cs="Arial"/>
              </w:rPr>
            </w:pPr>
          </w:p>
        </w:tc>
      </w:tr>
    </w:tbl>
    <w:p w:rsidR="00D902BA" w:rsidRDefault="00D902BA">
      <w:pPr>
        <w:jc w:val="both"/>
      </w:pPr>
    </w:p>
    <w:p w:rsidR="00C25026" w:rsidRDefault="00C25026" w:rsidP="00C25026">
      <w:pPr>
        <w:jc w:val="both"/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sz w:val="24"/>
          <w:u w:val="single"/>
        </w:rPr>
        <w:t>Kritéria hodnocení projektu</w:t>
      </w:r>
    </w:p>
    <w:p w:rsidR="00C300DE" w:rsidRDefault="00C300DE">
      <w:pPr>
        <w:jc w:val="both"/>
      </w:pPr>
    </w:p>
    <w:tbl>
      <w:tblPr>
        <w:tblStyle w:val="Mkatabulky"/>
        <w:tblW w:w="9445" w:type="dxa"/>
        <w:tblLook w:val="04A0" w:firstRow="1" w:lastRow="0" w:firstColumn="1" w:lastColumn="0" w:noHBand="0" w:noVBand="1"/>
      </w:tblPr>
      <w:tblGrid>
        <w:gridCol w:w="9445"/>
      </w:tblGrid>
      <w:tr w:rsidR="00F8325E" w:rsidTr="00F8325E">
        <w:tc>
          <w:tcPr>
            <w:tcW w:w="9445" w:type="dxa"/>
            <w:shd w:val="clear" w:color="auto" w:fill="D9D9D9" w:themeFill="background1" w:themeFillShade="D9"/>
          </w:tcPr>
          <w:p w:rsidR="00F8325E" w:rsidRDefault="00F8325E" w:rsidP="00256D89">
            <w:pPr>
              <w:spacing w:before="60" w:after="60"/>
              <w:jc w:val="both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Proveditelnost projektu</w:t>
            </w:r>
          </w:p>
        </w:tc>
      </w:tr>
      <w:tr w:rsidR="00F8325E" w:rsidTr="00F8325E">
        <w:tc>
          <w:tcPr>
            <w:tcW w:w="9445" w:type="dxa"/>
          </w:tcPr>
          <w:p w:rsidR="00F8325E" w:rsidRPr="00127EA1" w:rsidRDefault="00C25026">
            <w:pPr>
              <w:pStyle w:val="Odstavecseseznamem"/>
              <w:numPr>
                <w:ilvl w:val="0"/>
                <w:numId w:val="9"/>
              </w:numPr>
              <w:spacing w:before="60" w:after="60"/>
              <w:jc w:val="both"/>
              <w:rPr>
                <w:rFonts w:ascii="Arial" w:hAnsi="Arial" w:cs="Arial"/>
                <w:u w:val="single"/>
              </w:rPr>
            </w:pPr>
            <w:r w:rsidRPr="00127EA1">
              <w:rPr>
                <w:rFonts w:ascii="Arial" w:hAnsi="Arial" w:cs="Arial"/>
                <w:u w:val="single"/>
              </w:rPr>
              <w:t>Rozsah a harmonogram projektu</w:t>
            </w:r>
          </w:p>
          <w:p w:rsidR="00FB7445" w:rsidRPr="00127EA1" w:rsidRDefault="00FB7445" w:rsidP="004C6E44">
            <w:pPr>
              <w:spacing w:before="60" w:after="60"/>
              <w:jc w:val="both"/>
              <w:rPr>
                <w:rFonts w:ascii="Arial" w:hAnsi="Arial" w:cs="Arial"/>
              </w:rPr>
            </w:pPr>
          </w:p>
          <w:p w:rsidR="009962B5" w:rsidRPr="00127EA1" w:rsidRDefault="00840CC0" w:rsidP="004C6E44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127EA1">
              <w:rPr>
                <w:rFonts w:ascii="Arial" w:hAnsi="Arial" w:cs="Arial"/>
              </w:rPr>
              <w:t>Přestože chybí podrobnosti, cíl a zdůvodnění projektu jsou jasně vyjádřeny. Podrobnosti o rozsahu projektu, např. pokud jde o metry čtvereční nebo osoby, které budou budovu užívat, nejsou uvedeny.</w:t>
            </w:r>
          </w:p>
          <w:p w:rsidR="00152F8C" w:rsidRPr="00127EA1" w:rsidRDefault="00152F8C" w:rsidP="004C6E44">
            <w:pPr>
              <w:spacing w:before="60" w:after="60"/>
              <w:jc w:val="both"/>
              <w:rPr>
                <w:rFonts w:ascii="Arial" w:hAnsi="Arial" w:cs="Arial"/>
              </w:rPr>
            </w:pPr>
          </w:p>
          <w:p w:rsidR="004C6E44" w:rsidRPr="00127EA1" w:rsidRDefault="004C6E44" w:rsidP="004C6E44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127EA1">
              <w:rPr>
                <w:rFonts w:ascii="Arial" w:hAnsi="Arial" w:cs="Arial"/>
              </w:rPr>
              <w:t>Připravenost projektu je nízká s možností podat projektovou žádost v roce 2023. V současné době se připravuje architektonický záměr a dále by bylo vypsání výběrových řízení na stavební a plánovací/dokumentační práce.</w:t>
            </w:r>
          </w:p>
          <w:p w:rsidR="00152F8C" w:rsidRPr="00127EA1" w:rsidRDefault="00152F8C" w:rsidP="0052075B">
            <w:pPr>
              <w:spacing w:before="60" w:after="60"/>
              <w:jc w:val="both"/>
              <w:rPr>
                <w:rFonts w:ascii="Arial" w:hAnsi="Arial" w:cs="Arial"/>
              </w:rPr>
            </w:pPr>
          </w:p>
          <w:p w:rsidR="00783E49" w:rsidRPr="00127EA1" w:rsidRDefault="0052075B" w:rsidP="00152F8C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127EA1">
              <w:rPr>
                <w:rFonts w:ascii="Arial" w:hAnsi="Arial" w:cs="Arial"/>
              </w:rPr>
              <w:t xml:space="preserve">Projekt byl zahájen v 1. čtvrtletí 2021 návrhem a pořízením, zahájení stavebních prací je plánováno na 2. čtvrtletí 2023 a komplex budov by byl připraven k provozu ve 2. čtvrtletí 2025. Očekává se, že budovy budou v provozu za 4,5 roku, což se zdá rozumné. </w:t>
            </w:r>
          </w:p>
        </w:tc>
      </w:tr>
      <w:tr w:rsidR="00F8325E" w:rsidTr="00F8325E">
        <w:tc>
          <w:tcPr>
            <w:tcW w:w="9445" w:type="dxa"/>
          </w:tcPr>
          <w:p w:rsidR="00F8325E" w:rsidRPr="00127EA1" w:rsidRDefault="00F8325E">
            <w:pPr>
              <w:pStyle w:val="Odstavecseseznamem"/>
              <w:numPr>
                <w:ilvl w:val="0"/>
                <w:numId w:val="9"/>
              </w:numPr>
              <w:spacing w:before="60" w:after="60"/>
              <w:jc w:val="both"/>
              <w:rPr>
                <w:rFonts w:ascii="Arial" w:hAnsi="Arial" w:cs="Arial"/>
                <w:u w:val="single"/>
              </w:rPr>
            </w:pPr>
            <w:r w:rsidRPr="00127EA1">
              <w:rPr>
                <w:rFonts w:ascii="Arial" w:hAnsi="Arial" w:cs="Arial"/>
                <w:u w:val="single"/>
              </w:rPr>
              <w:t>Institucionální kapacita</w:t>
            </w:r>
          </w:p>
          <w:p w:rsidR="003C0E67" w:rsidRPr="00127EA1" w:rsidRDefault="003C0E67" w:rsidP="003C0E67">
            <w:pPr>
              <w:pStyle w:val="Odstavecseseznamem"/>
              <w:spacing w:before="60" w:after="60"/>
              <w:ind w:left="360"/>
              <w:jc w:val="both"/>
              <w:rPr>
                <w:rFonts w:ascii="Arial" w:hAnsi="Arial" w:cs="Arial"/>
                <w:i/>
              </w:rPr>
            </w:pPr>
          </w:p>
          <w:p w:rsidR="003C0E67" w:rsidRPr="00127EA1" w:rsidRDefault="003C0E67" w:rsidP="00F40B78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127EA1">
              <w:rPr>
                <w:rFonts w:ascii="Arial" w:hAnsi="Arial" w:cs="Arial"/>
              </w:rPr>
              <w:t>Žadatelem je Karlovarský kraj, který je vlastníkem všech souvisejících nemovitostí a zodpovídá za stavební část projektu, přičemž škola bude provozovat zařízení a řídit vzdělávací aktivity.</w:t>
            </w:r>
          </w:p>
          <w:p w:rsidR="00783E49" w:rsidRPr="00127EA1" w:rsidRDefault="00DA1BD2" w:rsidP="00F40B78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127EA1">
              <w:rPr>
                <w:rFonts w:ascii="Arial" w:hAnsi="Arial" w:cs="Arial"/>
              </w:rPr>
              <w:t>Kraj bude projekt stavby řídit společně s odborem školství, mládeže a tělovýchovy (příprava projektové žádosti), investičním odborem (dozor nad stavební částí projektu), odborem regionálního rozvoje (soulad projektu s Regionálními strategickými dokumenty) a oddělení projektového řízení (splnění výzvy OP ST). Karlovarský kraj má proto dostatečné zkušenosti s realizací projektů podobného rozsahu a rozsahu jako navrhovaný. Podobně i Střední průmyslová škola keramická a sklářská v Karlových Varech prokázala odborné znalosti a zkušenosti s organizací a poskytováním výše uvedených vzdělávacích a školicích služeb.</w:t>
            </w:r>
          </w:p>
          <w:p w:rsidR="00247F50" w:rsidRPr="00127EA1" w:rsidRDefault="00247F50" w:rsidP="002B454F">
            <w:pPr>
              <w:spacing w:before="60" w:after="60"/>
              <w:ind w:left="423"/>
              <w:jc w:val="both"/>
              <w:rPr>
                <w:rFonts w:ascii="Arial" w:hAnsi="Arial" w:cs="Arial"/>
              </w:rPr>
            </w:pPr>
          </w:p>
          <w:p w:rsidR="00247F50" w:rsidRPr="00127EA1" w:rsidRDefault="00247F50" w:rsidP="00D543FA">
            <w:pPr>
              <w:spacing w:before="60" w:after="60"/>
              <w:jc w:val="both"/>
              <w:rPr>
                <w:rFonts w:ascii="Arial" w:hAnsi="Arial" w:cs="Arial"/>
                <w:i/>
              </w:rPr>
            </w:pPr>
            <w:r w:rsidRPr="00127EA1">
              <w:rPr>
                <w:rFonts w:ascii="Arial" w:hAnsi="Arial" w:cs="Arial"/>
              </w:rPr>
              <w:t xml:space="preserve">Žadatelem je subjekt veřejného sektoru, podrobnosti o jeho finanční způsobilosti a zdrojích financování nebyly poskytnuty. </w:t>
            </w:r>
          </w:p>
        </w:tc>
      </w:tr>
      <w:tr w:rsidR="00F8325E" w:rsidTr="00F8325E">
        <w:tc>
          <w:tcPr>
            <w:tcW w:w="9445" w:type="dxa"/>
          </w:tcPr>
          <w:p w:rsidR="00F8325E" w:rsidRPr="00127EA1" w:rsidRDefault="00F8325E">
            <w:pPr>
              <w:pStyle w:val="Odstavecseseznamem"/>
              <w:numPr>
                <w:ilvl w:val="0"/>
                <w:numId w:val="9"/>
              </w:numPr>
              <w:spacing w:before="60" w:after="60"/>
              <w:jc w:val="both"/>
              <w:rPr>
                <w:rFonts w:ascii="Arial" w:hAnsi="Arial" w:cs="Arial"/>
                <w:u w:val="single"/>
              </w:rPr>
            </w:pPr>
            <w:r w:rsidRPr="00127EA1">
              <w:rPr>
                <w:rFonts w:ascii="Arial" w:hAnsi="Arial" w:cs="Arial"/>
                <w:u w:val="single"/>
              </w:rPr>
              <w:t>Technická proveditelnost</w:t>
            </w:r>
          </w:p>
          <w:p w:rsidR="00B31257" w:rsidRPr="00127EA1" w:rsidRDefault="00B31257" w:rsidP="00641E6B">
            <w:pPr>
              <w:spacing w:before="60" w:after="60"/>
              <w:jc w:val="both"/>
              <w:rPr>
                <w:rFonts w:ascii="Arial" w:hAnsi="Arial" w:cs="Arial"/>
              </w:rPr>
            </w:pPr>
          </w:p>
          <w:p w:rsidR="009457DA" w:rsidRPr="00127EA1" w:rsidRDefault="009457DA" w:rsidP="00641E6B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127EA1">
              <w:rPr>
                <w:rFonts w:ascii="Arial" w:hAnsi="Arial" w:cs="Arial"/>
              </w:rPr>
              <w:t xml:space="preserve">Velikost stavební plochy není v materiálu uvedena. Rovněž není uveden počet nových studentů, kteří se očekávají, že se zapíší do školy, noví učitelé a další zaměstnanci, kteří budou v prostorách pracovat. Proto není možné, aby JASPERS </w:t>
            </w:r>
            <w:proofErr w:type="spellStart"/>
            <w:r w:rsidRPr="00127EA1">
              <w:rPr>
                <w:rFonts w:ascii="Arial" w:hAnsi="Arial" w:cs="Arial"/>
              </w:rPr>
              <w:t>posuzoval</w:t>
            </w:r>
            <w:proofErr w:type="spellEnd"/>
            <w:r w:rsidRPr="00127EA1">
              <w:rPr>
                <w:rFonts w:ascii="Arial" w:hAnsi="Arial" w:cs="Arial"/>
              </w:rPr>
              <w:t xml:space="preserve"> </w:t>
            </w:r>
            <w:proofErr w:type="spellStart"/>
            <w:r w:rsidRPr="00127EA1">
              <w:rPr>
                <w:rFonts w:ascii="Arial" w:hAnsi="Arial" w:cs="Arial"/>
              </w:rPr>
              <w:t>technickou</w:t>
            </w:r>
            <w:proofErr w:type="spellEnd"/>
            <w:r w:rsidRPr="00127EA1">
              <w:rPr>
                <w:rFonts w:ascii="Arial" w:hAnsi="Arial" w:cs="Arial"/>
              </w:rPr>
              <w:t xml:space="preserve"> </w:t>
            </w:r>
            <w:proofErr w:type="spellStart"/>
            <w:r w:rsidRPr="00127EA1">
              <w:rPr>
                <w:rFonts w:ascii="Arial" w:hAnsi="Arial" w:cs="Arial"/>
              </w:rPr>
              <w:t>proveditelnost</w:t>
            </w:r>
            <w:proofErr w:type="spellEnd"/>
            <w:r w:rsidRPr="00127EA1">
              <w:rPr>
                <w:rFonts w:ascii="Arial" w:hAnsi="Arial" w:cs="Arial"/>
              </w:rPr>
              <w:t xml:space="preserve"> </w:t>
            </w:r>
            <w:proofErr w:type="spellStart"/>
            <w:r w:rsidRPr="00127EA1">
              <w:rPr>
                <w:rFonts w:ascii="Arial" w:hAnsi="Arial" w:cs="Arial"/>
              </w:rPr>
              <w:t>projektu</w:t>
            </w:r>
            <w:proofErr w:type="spellEnd"/>
            <w:r w:rsidRPr="00127EA1">
              <w:rPr>
                <w:rFonts w:ascii="Arial" w:hAnsi="Arial" w:cs="Arial"/>
              </w:rPr>
              <w:t>.</w:t>
            </w:r>
          </w:p>
          <w:p w:rsidR="00641E6B" w:rsidRPr="00127EA1" w:rsidRDefault="009457DA" w:rsidP="00641E6B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127EA1">
              <w:rPr>
                <w:rFonts w:ascii="Arial" w:hAnsi="Arial" w:cs="Arial"/>
                <w:i/>
              </w:rPr>
              <w:t xml:space="preserve"> </w:t>
            </w:r>
            <w:r w:rsidR="00641E6B" w:rsidRPr="00127EA1">
              <w:rPr>
                <w:rFonts w:ascii="Arial" w:hAnsi="Arial" w:cs="Arial"/>
              </w:rPr>
              <w:t>Řešení rekonstrukce části stávající střední školy a její doplnění o novou budovu je lepším řešením ve srovnání s výstavbou nového zařízení. Architektonicky bude budova navržena tak, aby podporovala interakci a posílila pocit komunity.</w:t>
            </w:r>
          </w:p>
          <w:p w:rsidR="002D02E1" w:rsidRPr="00127EA1" w:rsidRDefault="002D02E1" w:rsidP="00641E6B">
            <w:pPr>
              <w:spacing w:before="60" w:after="60"/>
              <w:jc w:val="both"/>
              <w:rPr>
                <w:rFonts w:ascii="Arial" w:hAnsi="Arial" w:cs="Arial"/>
                <w:i/>
              </w:rPr>
            </w:pPr>
          </w:p>
        </w:tc>
      </w:tr>
      <w:tr w:rsidR="00F8325E" w:rsidTr="00F8325E">
        <w:tc>
          <w:tcPr>
            <w:tcW w:w="9445" w:type="dxa"/>
          </w:tcPr>
          <w:p w:rsidR="00F8325E" w:rsidRPr="00127EA1" w:rsidRDefault="00C25026">
            <w:pPr>
              <w:pStyle w:val="Odstavecseseznamem"/>
              <w:numPr>
                <w:ilvl w:val="0"/>
                <w:numId w:val="9"/>
              </w:numPr>
              <w:spacing w:before="60" w:after="60"/>
              <w:jc w:val="both"/>
              <w:rPr>
                <w:rFonts w:ascii="Arial" w:hAnsi="Arial" w:cs="Arial"/>
                <w:u w:val="single"/>
              </w:rPr>
            </w:pPr>
            <w:r w:rsidRPr="00127EA1">
              <w:rPr>
                <w:rFonts w:ascii="Arial" w:hAnsi="Arial" w:cs="Arial"/>
                <w:u w:val="single"/>
              </w:rPr>
              <w:lastRenderedPageBreak/>
              <w:t>Finanční proveditelnost</w:t>
            </w:r>
          </w:p>
          <w:p w:rsidR="008F538B" w:rsidRPr="00127EA1" w:rsidRDefault="008F538B" w:rsidP="008F538B">
            <w:pPr>
              <w:pStyle w:val="Odstavecseseznamem"/>
              <w:spacing w:before="60" w:after="60"/>
              <w:ind w:left="360"/>
              <w:jc w:val="both"/>
              <w:rPr>
                <w:rFonts w:ascii="Arial" w:hAnsi="Arial" w:cs="Arial"/>
                <w:u w:val="single"/>
              </w:rPr>
            </w:pPr>
          </w:p>
          <w:p w:rsidR="00783E49" w:rsidRPr="00127EA1" w:rsidRDefault="009055D6" w:rsidP="00783E49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127EA1">
              <w:rPr>
                <w:rFonts w:ascii="Arial" w:hAnsi="Arial" w:cs="Arial"/>
              </w:rPr>
              <w:t>Poptávka po projektu vychází z potřeby rozšířit nabídku školního vzdělávání a celoživotního vzdělávání s cílem zajistit aktuální dovednosti stávajících místních firem ve výrobě skla a keramiky a podpořit firmy v přechodu na ekologičtější výroby a speciálních produktů s vyšší přidanou hodnotou. I když je jasné spojení se stávajícími podniky, je stále obtížné posoudit význam sklářského a keramického sektoru v regionu. Bude zapotřebí analýza poptávky a výhled sektoru.</w:t>
            </w:r>
          </w:p>
          <w:p w:rsidR="000A6372" w:rsidRPr="00127EA1" w:rsidRDefault="000A6372" w:rsidP="00783E49">
            <w:pPr>
              <w:spacing w:before="60" w:after="60"/>
              <w:jc w:val="both"/>
              <w:rPr>
                <w:rFonts w:ascii="Arial" w:hAnsi="Arial" w:cs="Arial"/>
              </w:rPr>
            </w:pPr>
          </w:p>
          <w:p w:rsidR="005D208D" w:rsidRPr="00127EA1" w:rsidRDefault="008B5F2C" w:rsidP="005D208D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127EA1">
              <w:rPr>
                <w:rFonts w:ascii="Arial" w:hAnsi="Arial" w:cs="Arial"/>
              </w:rPr>
              <w:t>Rozpočtové zbytky projektu jsou na velmi vysoké úrovni a chybí velikost budov, nelze proto posoudit reálnost nákladů projektu.</w:t>
            </w:r>
            <w:r w:rsidR="004834E2" w:rsidRPr="00127EA1">
              <w:rPr>
                <w:rFonts w:ascii="Arial" w:hAnsi="Arial" w:cs="Arial"/>
              </w:rPr>
              <w:br/>
            </w:r>
            <w:r w:rsidR="002E29B9" w:rsidRPr="00127EA1">
              <w:rPr>
                <w:rFonts w:ascii="Arial" w:hAnsi="Arial" w:cs="Arial"/>
              </w:rPr>
              <w:t>Náklady na projekt se odhadují na 680 mil. Kč (26,5 mil. EUR), přičemž veškeré náklady jsou alokovány na výstavbu a přístrojové vybavení. Náklady zahrnují celý proces návrhu a sestavení. Karlovarský kraj pokryje 15 % rozpočtu, 85 % se předpokládá z dotace JTF.</w:t>
            </w:r>
            <w:r w:rsidR="00763EDB" w:rsidRPr="00127EA1">
              <w:rPr>
                <w:rFonts w:ascii="Arial" w:hAnsi="Arial" w:cs="Arial"/>
              </w:rPr>
              <w:tab/>
            </w:r>
            <w:r w:rsidR="005D208D" w:rsidRPr="00127EA1">
              <w:rPr>
                <w:rFonts w:ascii="Arial" w:hAnsi="Arial" w:cs="Arial"/>
              </w:rPr>
              <w:tab/>
            </w:r>
            <w:r w:rsidR="005D208D" w:rsidRPr="00127EA1">
              <w:rPr>
                <w:rFonts w:ascii="Arial" w:hAnsi="Arial" w:cs="Arial"/>
              </w:rPr>
              <w:tab/>
            </w:r>
            <w:r w:rsidR="005D208D" w:rsidRPr="00127EA1">
              <w:rPr>
                <w:rFonts w:ascii="Arial" w:hAnsi="Arial" w:cs="Arial"/>
              </w:rPr>
              <w:tab/>
            </w:r>
            <w:r w:rsidR="005D208D" w:rsidRPr="00127EA1">
              <w:rPr>
                <w:rFonts w:ascii="Arial" w:hAnsi="Arial" w:cs="Arial"/>
              </w:rPr>
              <w:tab/>
            </w:r>
            <w:r w:rsidR="005D208D" w:rsidRPr="00127EA1">
              <w:rPr>
                <w:rFonts w:ascii="Arial" w:hAnsi="Arial" w:cs="Arial"/>
              </w:rPr>
              <w:tab/>
            </w:r>
            <w:r w:rsidR="005D208D" w:rsidRPr="00127EA1">
              <w:rPr>
                <w:rFonts w:ascii="Arial" w:hAnsi="Arial" w:cs="Arial"/>
              </w:rPr>
              <w:tab/>
            </w:r>
            <w:r w:rsidR="005D208D" w:rsidRPr="00127EA1">
              <w:rPr>
                <w:rFonts w:ascii="Arial" w:hAnsi="Arial" w:cs="Arial"/>
              </w:rPr>
              <w:tab/>
            </w:r>
          </w:p>
          <w:p w:rsidR="004834E2" w:rsidRPr="00127EA1" w:rsidRDefault="004834E2" w:rsidP="004834E2">
            <w:pPr>
              <w:spacing w:before="60" w:after="60"/>
              <w:jc w:val="both"/>
              <w:rPr>
                <w:rFonts w:ascii="Arial" w:hAnsi="Arial" w:cs="Arial"/>
              </w:rPr>
            </w:pPr>
          </w:p>
          <w:p w:rsidR="004834E2" w:rsidRPr="00127EA1" w:rsidRDefault="004834E2" w:rsidP="004834E2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127EA1">
              <w:rPr>
                <w:rFonts w:ascii="Arial" w:hAnsi="Arial" w:cs="Arial"/>
              </w:rPr>
              <w:t xml:space="preserve">Vzdělávání, školení a další činnosti, které bude škola zajišťovat, budou částečně pokryty navýšením příjmů z rozpočtu kraje na cca. 6,9 mil. Kč ročně. Po dokončení bude část provozních nákladů souvisejících se samotnými budovami pokryta výnosy z pronájmu prostor pro akce, </w:t>
            </w:r>
            <w:proofErr w:type="spellStart"/>
            <w:r w:rsidRPr="00127EA1">
              <w:rPr>
                <w:rFonts w:ascii="Arial" w:hAnsi="Arial" w:cs="Arial"/>
              </w:rPr>
              <w:t>profesionální</w:t>
            </w:r>
            <w:proofErr w:type="spellEnd"/>
            <w:r w:rsidRPr="00127EA1">
              <w:rPr>
                <w:rFonts w:ascii="Arial" w:hAnsi="Arial" w:cs="Arial"/>
              </w:rPr>
              <w:t xml:space="preserve"> </w:t>
            </w:r>
            <w:proofErr w:type="spellStart"/>
            <w:r w:rsidRPr="00127EA1">
              <w:rPr>
                <w:rFonts w:ascii="Arial" w:hAnsi="Arial" w:cs="Arial"/>
              </w:rPr>
              <w:t>využití</w:t>
            </w:r>
            <w:proofErr w:type="spellEnd"/>
            <w:r w:rsidRPr="00127EA1">
              <w:rPr>
                <w:rFonts w:ascii="Arial" w:hAnsi="Arial" w:cs="Arial"/>
              </w:rPr>
              <w:t xml:space="preserve"> a </w:t>
            </w:r>
            <w:proofErr w:type="spellStart"/>
            <w:r w:rsidRPr="00127EA1">
              <w:rPr>
                <w:rFonts w:ascii="Arial" w:hAnsi="Arial" w:cs="Arial"/>
              </w:rPr>
              <w:t>aktivity</w:t>
            </w:r>
            <w:proofErr w:type="spellEnd"/>
            <w:r w:rsidRPr="00127EA1">
              <w:rPr>
                <w:rFonts w:ascii="Arial" w:hAnsi="Arial" w:cs="Arial"/>
              </w:rPr>
              <w:t>.</w:t>
            </w:r>
          </w:p>
          <w:p w:rsidR="00783E49" w:rsidRPr="00127EA1" w:rsidRDefault="00783E49" w:rsidP="002E29B9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F8325E" w:rsidTr="00F8325E">
        <w:tc>
          <w:tcPr>
            <w:tcW w:w="9445" w:type="dxa"/>
          </w:tcPr>
          <w:p w:rsidR="008E0B4A" w:rsidRPr="00127EA1" w:rsidRDefault="007F2832" w:rsidP="00BE5331">
            <w:pPr>
              <w:pStyle w:val="Odstavecseseznamem"/>
              <w:numPr>
                <w:ilvl w:val="0"/>
                <w:numId w:val="9"/>
              </w:numPr>
              <w:rPr>
                <w:rFonts w:ascii="Arial" w:hAnsi="Arial" w:cs="Arial"/>
                <w:u w:val="single"/>
              </w:rPr>
            </w:pPr>
            <w:r w:rsidRPr="00127EA1">
              <w:rPr>
                <w:rFonts w:ascii="Arial" w:hAnsi="Arial" w:cs="Arial"/>
                <w:u w:val="single"/>
              </w:rPr>
              <w:t>Rizika projektu</w:t>
            </w:r>
          </w:p>
          <w:p w:rsidR="00F1623B" w:rsidRPr="00127EA1" w:rsidRDefault="00F1623B" w:rsidP="00F1623B">
            <w:pPr>
              <w:pStyle w:val="Odstavecseseznamem"/>
              <w:ind w:left="360"/>
              <w:rPr>
                <w:rFonts w:ascii="Arial" w:hAnsi="Arial" w:cs="Arial"/>
                <w:u w:val="single"/>
              </w:rPr>
            </w:pPr>
          </w:p>
          <w:p w:rsidR="00F1623B" w:rsidRPr="00127EA1" w:rsidRDefault="00F1623B" w:rsidP="00F1623B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127EA1">
              <w:rPr>
                <w:rFonts w:ascii="Arial" w:hAnsi="Arial" w:cs="Arial"/>
              </w:rPr>
              <w:t>Podle názoru JASPERS:</w:t>
            </w:r>
          </w:p>
          <w:p w:rsidR="00C25026" w:rsidRPr="00127EA1" w:rsidRDefault="00C25026" w:rsidP="00FB0EFD">
            <w:pPr>
              <w:pStyle w:val="Odstavecseseznamem"/>
              <w:numPr>
                <w:ilvl w:val="0"/>
                <w:numId w:val="5"/>
              </w:numPr>
              <w:spacing w:before="60" w:after="60"/>
              <w:jc w:val="both"/>
              <w:rPr>
                <w:color w:val="1F497D"/>
              </w:rPr>
            </w:pPr>
            <w:r w:rsidRPr="00127EA1">
              <w:rPr>
                <w:rFonts w:ascii="Arial" w:hAnsi="Arial" w:cs="Arial"/>
                <w:i/>
              </w:rPr>
              <w:t>Technická rizika jsou vysoká</w:t>
            </w:r>
            <w:r w:rsidR="00CF47E7" w:rsidRPr="00127EA1">
              <w:rPr>
                <w:rFonts w:ascii="Arial" w:hAnsi="Arial" w:cs="Arial"/>
              </w:rPr>
              <w:t>: Renovace stávajících budov může přinést problémy s toxickými materiály, strukturálními defekty v potrubí, střeše, elektřině, ventilaci, odvodnění a různé typy skrytých poškození nahromaděných v průběhu let nebo vyžadovat zvládnutí technik, které se těžko hledají. Cokoli z toho povede ke zpožděním a překročení rozpočtu.</w:t>
            </w:r>
          </w:p>
          <w:p w:rsidR="00CF47E7" w:rsidRPr="00127EA1" w:rsidRDefault="00C25026" w:rsidP="00CF47E7">
            <w:pPr>
              <w:pStyle w:val="Odstavecseseznamem"/>
              <w:numPr>
                <w:ilvl w:val="0"/>
                <w:numId w:val="5"/>
              </w:numPr>
              <w:spacing w:before="60" w:after="60"/>
              <w:jc w:val="both"/>
              <w:rPr>
                <w:color w:val="1F497D"/>
              </w:rPr>
            </w:pPr>
            <w:r w:rsidRPr="00127EA1">
              <w:rPr>
                <w:rFonts w:ascii="Arial" w:hAnsi="Arial" w:cs="Arial"/>
                <w:i/>
              </w:rPr>
              <w:t>Rizika implementace jsou střední</w:t>
            </w:r>
            <w:r w:rsidR="00CF47E7" w:rsidRPr="00127EA1">
              <w:rPr>
                <w:rFonts w:ascii="Arial" w:hAnsi="Arial" w:cs="Arial"/>
              </w:rPr>
              <w:t>: Dokončení všech stavebních prací je plánováno do dvou let. Žadatel má zkušenosti s realizací obdobných projektů. Zpoždění, překročení rozpočtu a nízká kvalita stavebních prací/výstupů se však projeví, pokud nebude dostatek času a zdrojů přidělených na inspekci staré budovy, plánování prací a hledání dodavatelů specializovaných na renovaci. Povolení také může trvat déle, než se očekává.</w:t>
            </w:r>
          </w:p>
          <w:p w:rsidR="00FB0EFD" w:rsidRPr="00127EA1" w:rsidRDefault="00FB0EFD" w:rsidP="00C1474F">
            <w:pPr>
              <w:pStyle w:val="Odstavecseseznamem"/>
              <w:numPr>
                <w:ilvl w:val="0"/>
                <w:numId w:val="5"/>
              </w:numPr>
              <w:spacing w:before="60" w:after="60"/>
              <w:jc w:val="both"/>
              <w:rPr>
                <w:rFonts w:ascii="Arial" w:hAnsi="Arial" w:cs="Arial"/>
                <w:i/>
              </w:rPr>
            </w:pPr>
            <w:r w:rsidRPr="00127EA1">
              <w:rPr>
                <w:rFonts w:ascii="Arial" w:hAnsi="Arial" w:cs="Arial"/>
                <w:i/>
              </w:rPr>
              <w:t>Poptávková/tržní rizika jsou nízká</w:t>
            </w:r>
            <w:r w:rsidR="00CF47E7" w:rsidRPr="00127EA1">
              <w:rPr>
                <w:rFonts w:ascii="Arial" w:hAnsi="Arial" w:cs="Arial"/>
              </w:rPr>
              <w:t>: Řádná analýza poptávky a výhled sklářského a keramického sektoru nebyly k dispozici. Zdá se však, že vzdělávání a školení poskytované školou dobře odpovídají potřebám stávajících místních firem a realizují projekt.</w:t>
            </w:r>
          </w:p>
          <w:p w:rsidR="00281A9B" w:rsidRPr="00127EA1" w:rsidRDefault="00C25026" w:rsidP="00281A9B">
            <w:pPr>
              <w:pStyle w:val="Odstavecseseznamem"/>
              <w:numPr>
                <w:ilvl w:val="0"/>
                <w:numId w:val="5"/>
              </w:numPr>
              <w:spacing w:before="60" w:after="60"/>
              <w:jc w:val="both"/>
              <w:rPr>
                <w:rFonts w:ascii="Arial" w:hAnsi="Arial" w:cs="Arial"/>
                <w:i/>
              </w:rPr>
            </w:pPr>
            <w:r w:rsidRPr="00127EA1">
              <w:rPr>
                <w:rFonts w:ascii="Arial" w:hAnsi="Arial" w:cs="Arial"/>
                <w:i/>
              </w:rPr>
              <w:t>Finanční rizika jsou střední</w:t>
            </w:r>
            <w:r w:rsidR="00CF47E7" w:rsidRPr="00127EA1">
              <w:rPr>
                <w:rFonts w:ascii="Arial" w:hAnsi="Arial" w:cs="Arial"/>
              </w:rPr>
              <w:t>: Karlovarský kraj je vlastníkem budovy a pozemku, na kterém bude nová budova postavena. Zodpovídá také za projektové řízení, předfinancování a spolufinancování. Její podíl na spolufinancování se předpokládá ve výši 15 % a bude čerpán z vlastních prostředků.</w:t>
            </w:r>
          </w:p>
          <w:p w:rsidR="007C6372" w:rsidRPr="00127EA1" w:rsidRDefault="007C6372" w:rsidP="007C6372">
            <w:pPr>
              <w:spacing w:before="60" w:after="60"/>
              <w:ind w:left="360"/>
              <w:jc w:val="both"/>
              <w:rPr>
                <w:color w:val="1F497D"/>
              </w:rPr>
            </w:pPr>
          </w:p>
        </w:tc>
      </w:tr>
    </w:tbl>
    <w:p w:rsidR="007F0941" w:rsidRDefault="007F0941">
      <w:pPr>
        <w:jc w:val="both"/>
        <w:rPr>
          <w:rFonts w:ascii="Arial" w:hAnsi="Arial" w:cs="Arial"/>
          <w:b/>
        </w:rPr>
      </w:pPr>
    </w:p>
    <w:tbl>
      <w:tblPr>
        <w:tblStyle w:val="Mkatabulky"/>
        <w:tblW w:w="9445" w:type="dxa"/>
        <w:tblLook w:val="04A0" w:firstRow="1" w:lastRow="0" w:firstColumn="1" w:lastColumn="0" w:noHBand="0" w:noVBand="1"/>
      </w:tblPr>
      <w:tblGrid>
        <w:gridCol w:w="9445"/>
      </w:tblGrid>
      <w:tr w:rsidR="00D902BA" w:rsidTr="006F4D89">
        <w:tc>
          <w:tcPr>
            <w:tcW w:w="9445" w:type="dxa"/>
            <w:shd w:val="clear" w:color="auto" w:fill="D9D9D9" w:themeFill="background1" w:themeFillShade="D9"/>
          </w:tcPr>
          <w:p w:rsidR="00D902BA" w:rsidRDefault="00D902BA" w:rsidP="006F4D8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4"/>
              </w:rPr>
              <w:t>Komentáře a doporučení JASPERS (pokud existují)</w:t>
            </w:r>
          </w:p>
        </w:tc>
      </w:tr>
      <w:tr w:rsidR="00D902BA" w:rsidTr="006F4D89">
        <w:tc>
          <w:tcPr>
            <w:tcW w:w="9445" w:type="dxa"/>
          </w:tcPr>
          <w:p w:rsidR="00D902BA" w:rsidRPr="00127EA1" w:rsidRDefault="006813BF" w:rsidP="006F4D89">
            <w:pPr>
              <w:jc w:val="both"/>
              <w:rPr>
                <w:rFonts w:ascii="Arial" w:hAnsi="Arial" w:cs="Arial"/>
              </w:rPr>
            </w:pPr>
            <w:r w:rsidRPr="00127EA1">
              <w:rPr>
                <w:rFonts w:ascii="Arial" w:hAnsi="Arial" w:cs="Arial"/>
              </w:rPr>
              <w:t>I když je projekt v souladu se specifickým cílem i činnostmi nařízení o JTF, postrádá podrobnosti o rozsahu projektu, poptávce, relevantním výhledu odvětví, nákladech a dlouhodobé udržitelnosti. To ztěžuje posouzení přínosů projektu.</w:t>
            </w:r>
          </w:p>
          <w:p w:rsidR="006B0F2D" w:rsidRPr="00127EA1" w:rsidRDefault="006B0F2D" w:rsidP="006F4D89">
            <w:pPr>
              <w:jc w:val="both"/>
              <w:rPr>
                <w:rFonts w:ascii="Arial" w:hAnsi="Arial" w:cs="Arial"/>
              </w:rPr>
            </w:pPr>
          </w:p>
          <w:p w:rsidR="00E55A2A" w:rsidRPr="00127EA1" w:rsidRDefault="00E55A2A" w:rsidP="006F4D89">
            <w:pPr>
              <w:jc w:val="both"/>
              <w:rPr>
                <w:rFonts w:ascii="Arial" w:hAnsi="Arial" w:cs="Arial"/>
              </w:rPr>
            </w:pPr>
            <w:r w:rsidRPr="00127EA1">
              <w:rPr>
                <w:rFonts w:ascii="Arial" w:hAnsi="Arial" w:cs="Arial"/>
              </w:rPr>
              <w:t>Jasnou předností projektu je jeho napojení na stávající podniky v regionu. Toto odvětví by potřebovalo zvýšit intenzitu výzkumu, vývoje a inovací a vstupy do vývoje produktů a procesů šetrnějších k životnímu prostředí. Tato transformace vyžaduje lidské zdroje, které jsou vhodné pro daný účel a projekt to přímo řeší.</w:t>
            </w:r>
          </w:p>
          <w:p w:rsidR="00E70C55" w:rsidRPr="00127EA1" w:rsidRDefault="00E70C55" w:rsidP="00FB0EFD">
            <w:pPr>
              <w:spacing w:before="60" w:after="60"/>
              <w:ind w:left="360"/>
              <w:jc w:val="both"/>
              <w:rPr>
                <w:rFonts w:ascii="Arial" w:hAnsi="Arial" w:cs="Arial"/>
              </w:rPr>
            </w:pPr>
          </w:p>
          <w:p w:rsidR="000B1269" w:rsidRPr="00127EA1" w:rsidRDefault="000B1269" w:rsidP="000B1269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127EA1">
              <w:rPr>
                <w:rFonts w:ascii="Arial" w:hAnsi="Arial" w:cs="Arial"/>
              </w:rPr>
              <w:t xml:space="preserve">Doporučení JASEPRS je zaměřit se na chybějící prvky, provést studii proveditelnosti a vypracovat obchodní případ projektu. </w:t>
            </w:r>
          </w:p>
          <w:p w:rsidR="00E70C55" w:rsidRDefault="00E70C55" w:rsidP="006F4D89">
            <w:pPr>
              <w:jc w:val="both"/>
              <w:rPr>
                <w:rFonts w:ascii="Arial" w:hAnsi="Arial" w:cs="Arial"/>
              </w:rPr>
            </w:pPr>
          </w:p>
        </w:tc>
      </w:tr>
    </w:tbl>
    <w:p w:rsidR="00D902BA" w:rsidRDefault="00D902BA">
      <w:pPr>
        <w:jc w:val="both"/>
        <w:rPr>
          <w:rFonts w:ascii="Arial" w:hAnsi="Arial" w:cs="Arial"/>
          <w:b/>
        </w:rPr>
      </w:pPr>
    </w:p>
    <w:tbl>
      <w:tblPr>
        <w:tblStyle w:val="Mkatabulky"/>
        <w:tblW w:w="9445" w:type="dxa"/>
        <w:tblLook w:val="04A0" w:firstRow="1" w:lastRow="0" w:firstColumn="1" w:lastColumn="0" w:noHBand="0" w:noVBand="1"/>
      </w:tblPr>
      <w:tblGrid>
        <w:gridCol w:w="9445"/>
      </w:tblGrid>
      <w:tr w:rsidR="007E2230" w:rsidRPr="00C60B6F" w:rsidTr="00661CA4">
        <w:tc>
          <w:tcPr>
            <w:tcW w:w="9445" w:type="dxa"/>
            <w:shd w:val="clear" w:color="auto" w:fill="D9D9D9" w:themeFill="background1" w:themeFillShade="D9"/>
          </w:tcPr>
          <w:p w:rsidR="007E2230" w:rsidRPr="007E2230" w:rsidRDefault="007E2230" w:rsidP="007E2230">
            <w:pPr>
              <w:jc w:val="both"/>
              <w:rPr>
                <w:rFonts w:ascii="Arial" w:hAnsi="Arial" w:cs="Arial"/>
                <w:b/>
                <w:sz w:val="24"/>
              </w:rPr>
            </w:pPr>
            <w:r w:rsidRPr="007E2230">
              <w:rPr>
                <w:rFonts w:ascii="Arial" w:hAnsi="Arial" w:cs="Arial"/>
                <w:b/>
                <w:sz w:val="24"/>
              </w:rPr>
              <w:t>JASPERS Poznámky k možnostem financování a kvalifikaci projektu do pilířů JTM</w:t>
            </w:r>
          </w:p>
        </w:tc>
      </w:tr>
      <w:tr w:rsidR="007E2230" w:rsidRPr="00775571" w:rsidTr="00661CA4">
        <w:tc>
          <w:tcPr>
            <w:tcW w:w="9445" w:type="dxa"/>
          </w:tcPr>
          <w:p w:rsidR="007E2230" w:rsidRPr="007E2230" w:rsidRDefault="007E2230" w:rsidP="007E2230">
            <w:pPr>
              <w:spacing w:before="120" w:after="120"/>
              <w:jc w:val="both"/>
              <w:rPr>
                <w:rFonts w:cs="Arial"/>
              </w:rPr>
            </w:pPr>
          </w:p>
        </w:tc>
      </w:tr>
    </w:tbl>
    <w:p w:rsidR="007E2230" w:rsidRDefault="007E2230">
      <w:pPr>
        <w:jc w:val="both"/>
        <w:rPr>
          <w:rFonts w:ascii="Arial" w:hAnsi="Arial" w:cs="Arial"/>
          <w:b/>
        </w:rPr>
      </w:pPr>
    </w:p>
    <w:p w:rsidR="007F0941" w:rsidRDefault="007F0941">
      <w:pPr>
        <w:jc w:val="both"/>
        <w:rPr>
          <w:rFonts w:ascii="Arial" w:hAnsi="Arial" w:cs="Arial"/>
          <w:b/>
        </w:rPr>
      </w:pPr>
    </w:p>
    <w:sectPr w:rsidR="007F0941">
      <w:head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394E" w:rsidRDefault="00E3394E">
      <w:pPr>
        <w:spacing w:after="0" w:line="240" w:lineRule="auto"/>
      </w:pPr>
      <w:r>
        <w:separator/>
      </w:r>
    </w:p>
  </w:endnote>
  <w:endnote w:type="continuationSeparator" w:id="0">
    <w:p w:rsidR="00E3394E" w:rsidRDefault="00E339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394E" w:rsidRDefault="00E3394E">
      <w:pPr>
        <w:spacing w:after="0" w:line="240" w:lineRule="auto"/>
      </w:pPr>
      <w:r>
        <w:separator/>
      </w:r>
    </w:p>
  </w:footnote>
  <w:footnote w:type="continuationSeparator" w:id="0">
    <w:p w:rsidR="00E3394E" w:rsidRDefault="00E339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0941" w:rsidRDefault="00DD5B0C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59264" behindDoc="0" locked="0" layoutInCell="1" allowOverlap="1" wp14:anchorId="0EB13635" wp14:editId="3F7945F4">
          <wp:simplePos x="0" y="0"/>
          <wp:positionH relativeFrom="column">
            <wp:posOffset>5213210</wp:posOffset>
          </wp:positionH>
          <wp:positionV relativeFrom="paragraph">
            <wp:posOffset>-310591</wp:posOffset>
          </wp:positionV>
          <wp:extent cx="1307097" cy="563270"/>
          <wp:effectExtent l="0" t="0" r="7620" b="8255"/>
          <wp:wrapNone/>
          <wp:docPr id="1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034" cy="5692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D1DAE"/>
    <w:multiLevelType w:val="hybridMultilevel"/>
    <w:tmpl w:val="C7D867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B875E5"/>
    <w:multiLevelType w:val="hybridMultilevel"/>
    <w:tmpl w:val="5CD82EA8"/>
    <w:lvl w:ilvl="0" w:tplc="4ADA1B9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6B744C"/>
    <w:multiLevelType w:val="hybridMultilevel"/>
    <w:tmpl w:val="D50007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CD0FB3"/>
    <w:multiLevelType w:val="hybridMultilevel"/>
    <w:tmpl w:val="EA66D5CA"/>
    <w:lvl w:ilvl="0" w:tplc="08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4" w15:restartNumberingAfterBreak="0">
    <w:nsid w:val="228B728D"/>
    <w:multiLevelType w:val="hybridMultilevel"/>
    <w:tmpl w:val="3C9A6BCE"/>
    <w:lvl w:ilvl="0" w:tplc="04090017">
      <w:start w:val="1"/>
      <w:numFmt w:val="lowerLetter"/>
      <w:lvlText w:val="%1)"/>
      <w:lvlJc w:val="left"/>
      <w:pPr>
        <w:ind w:left="704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5" w15:restartNumberingAfterBreak="0">
    <w:nsid w:val="234D66C3"/>
    <w:multiLevelType w:val="hybridMultilevel"/>
    <w:tmpl w:val="4B5092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F16F96"/>
    <w:multiLevelType w:val="hybridMultilevel"/>
    <w:tmpl w:val="C37C17C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9583DD8"/>
    <w:multiLevelType w:val="hybridMultilevel"/>
    <w:tmpl w:val="C7185A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0B4713"/>
    <w:multiLevelType w:val="hybridMultilevel"/>
    <w:tmpl w:val="B18490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4266A6"/>
    <w:multiLevelType w:val="hybridMultilevel"/>
    <w:tmpl w:val="BCB0242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CA61CF"/>
    <w:multiLevelType w:val="hybridMultilevel"/>
    <w:tmpl w:val="221859B4"/>
    <w:lvl w:ilvl="0" w:tplc="B4103B0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056E31"/>
    <w:multiLevelType w:val="hybridMultilevel"/>
    <w:tmpl w:val="3C82D36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D44120"/>
    <w:multiLevelType w:val="hybridMultilevel"/>
    <w:tmpl w:val="F318941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5E4D5F"/>
    <w:multiLevelType w:val="hybridMultilevel"/>
    <w:tmpl w:val="FF1EADA4"/>
    <w:lvl w:ilvl="0" w:tplc="B4103B0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4103D7"/>
    <w:multiLevelType w:val="hybridMultilevel"/>
    <w:tmpl w:val="51C8FFC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4AC7F3B"/>
    <w:multiLevelType w:val="hybridMultilevel"/>
    <w:tmpl w:val="A22C20C8"/>
    <w:lvl w:ilvl="0" w:tplc="FCCA658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F835CD"/>
    <w:multiLevelType w:val="hybridMultilevel"/>
    <w:tmpl w:val="6032F9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284A44"/>
    <w:multiLevelType w:val="hybridMultilevel"/>
    <w:tmpl w:val="652842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5A5846"/>
    <w:multiLevelType w:val="multilevel"/>
    <w:tmpl w:val="78AA7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B5974FF"/>
    <w:multiLevelType w:val="hybridMultilevel"/>
    <w:tmpl w:val="36608E06"/>
    <w:lvl w:ilvl="0" w:tplc="05002A9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1076C4"/>
    <w:multiLevelType w:val="hybridMultilevel"/>
    <w:tmpl w:val="1A5EE0A4"/>
    <w:lvl w:ilvl="0" w:tplc="B4103B0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8"/>
  </w:num>
  <w:num w:numId="3">
    <w:abstractNumId w:val="8"/>
  </w:num>
  <w:num w:numId="4">
    <w:abstractNumId w:val="15"/>
  </w:num>
  <w:num w:numId="5">
    <w:abstractNumId w:val="17"/>
  </w:num>
  <w:num w:numId="6">
    <w:abstractNumId w:val="1"/>
  </w:num>
  <w:num w:numId="7">
    <w:abstractNumId w:val="12"/>
  </w:num>
  <w:num w:numId="8">
    <w:abstractNumId w:val="6"/>
  </w:num>
  <w:num w:numId="9">
    <w:abstractNumId w:val="14"/>
  </w:num>
  <w:num w:numId="10">
    <w:abstractNumId w:val="13"/>
  </w:num>
  <w:num w:numId="11">
    <w:abstractNumId w:val="10"/>
  </w:num>
  <w:num w:numId="12">
    <w:abstractNumId w:val="5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2"/>
  </w:num>
  <w:num w:numId="16">
    <w:abstractNumId w:val="9"/>
  </w:num>
  <w:num w:numId="17">
    <w:abstractNumId w:val="0"/>
  </w:num>
  <w:num w:numId="18">
    <w:abstractNumId w:val="7"/>
  </w:num>
  <w:num w:numId="19">
    <w:abstractNumId w:val="11"/>
  </w:num>
  <w:num w:numId="20">
    <w:abstractNumId w:val="20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cwMDC3NLcwMTc3MTRQ0lEKTi0uzszPAykwrwUAgoRtEiwAAAA="/>
  </w:docVars>
  <w:rsids>
    <w:rsidRoot w:val="00E52DD8"/>
    <w:rsid w:val="00014B94"/>
    <w:rsid w:val="000165DC"/>
    <w:rsid w:val="000236E0"/>
    <w:rsid w:val="00030CCE"/>
    <w:rsid w:val="000321F9"/>
    <w:rsid w:val="000358E2"/>
    <w:rsid w:val="00040285"/>
    <w:rsid w:val="00052B12"/>
    <w:rsid w:val="00053724"/>
    <w:rsid w:val="00066A5B"/>
    <w:rsid w:val="000671F2"/>
    <w:rsid w:val="00082678"/>
    <w:rsid w:val="00082D55"/>
    <w:rsid w:val="00084CE4"/>
    <w:rsid w:val="000A3560"/>
    <w:rsid w:val="000A61CC"/>
    <w:rsid w:val="000A6372"/>
    <w:rsid w:val="000B1269"/>
    <w:rsid w:val="000B1470"/>
    <w:rsid w:val="000B3587"/>
    <w:rsid w:val="000B5EAA"/>
    <w:rsid w:val="000D0289"/>
    <w:rsid w:val="000D1B2C"/>
    <w:rsid w:val="000D598B"/>
    <w:rsid w:val="000E38EA"/>
    <w:rsid w:val="000F45BC"/>
    <w:rsid w:val="001143D2"/>
    <w:rsid w:val="001150DB"/>
    <w:rsid w:val="00124CC9"/>
    <w:rsid w:val="00127EA1"/>
    <w:rsid w:val="00132273"/>
    <w:rsid w:val="00141BEC"/>
    <w:rsid w:val="001425AC"/>
    <w:rsid w:val="00145093"/>
    <w:rsid w:val="00145C93"/>
    <w:rsid w:val="00152F8C"/>
    <w:rsid w:val="001566A9"/>
    <w:rsid w:val="00163323"/>
    <w:rsid w:val="00163C8D"/>
    <w:rsid w:val="00170073"/>
    <w:rsid w:val="001807A7"/>
    <w:rsid w:val="0018670E"/>
    <w:rsid w:val="00190123"/>
    <w:rsid w:val="0019207D"/>
    <w:rsid w:val="00193071"/>
    <w:rsid w:val="001A6A7F"/>
    <w:rsid w:val="001A748A"/>
    <w:rsid w:val="001A774D"/>
    <w:rsid w:val="001B3E78"/>
    <w:rsid w:val="001B63A4"/>
    <w:rsid w:val="001C4439"/>
    <w:rsid w:val="001C706A"/>
    <w:rsid w:val="001E1871"/>
    <w:rsid w:val="001F668F"/>
    <w:rsid w:val="001F76C6"/>
    <w:rsid w:val="00205309"/>
    <w:rsid w:val="00216712"/>
    <w:rsid w:val="002231F7"/>
    <w:rsid w:val="002300BB"/>
    <w:rsid w:val="00232DE2"/>
    <w:rsid w:val="00245E7E"/>
    <w:rsid w:val="00247F50"/>
    <w:rsid w:val="002505B8"/>
    <w:rsid w:val="002524E7"/>
    <w:rsid w:val="00256D89"/>
    <w:rsid w:val="00264865"/>
    <w:rsid w:val="002651AE"/>
    <w:rsid w:val="00270ED9"/>
    <w:rsid w:val="00276E48"/>
    <w:rsid w:val="00281A9B"/>
    <w:rsid w:val="00283552"/>
    <w:rsid w:val="00283AE7"/>
    <w:rsid w:val="00287026"/>
    <w:rsid w:val="0029017D"/>
    <w:rsid w:val="00294857"/>
    <w:rsid w:val="002B454F"/>
    <w:rsid w:val="002B75E3"/>
    <w:rsid w:val="002C0917"/>
    <w:rsid w:val="002C337C"/>
    <w:rsid w:val="002C4A0C"/>
    <w:rsid w:val="002D02E1"/>
    <w:rsid w:val="002D113B"/>
    <w:rsid w:val="002D526E"/>
    <w:rsid w:val="002E0CDD"/>
    <w:rsid w:val="002E0E8C"/>
    <w:rsid w:val="002E29B9"/>
    <w:rsid w:val="002F3940"/>
    <w:rsid w:val="002F4CAF"/>
    <w:rsid w:val="002F70A8"/>
    <w:rsid w:val="00307E63"/>
    <w:rsid w:val="00311EA5"/>
    <w:rsid w:val="0031644A"/>
    <w:rsid w:val="00322177"/>
    <w:rsid w:val="00336D3B"/>
    <w:rsid w:val="00361343"/>
    <w:rsid w:val="00373506"/>
    <w:rsid w:val="0037362F"/>
    <w:rsid w:val="00376B27"/>
    <w:rsid w:val="003852DD"/>
    <w:rsid w:val="003856A9"/>
    <w:rsid w:val="00386131"/>
    <w:rsid w:val="00391B11"/>
    <w:rsid w:val="00393033"/>
    <w:rsid w:val="003960EB"/>
    <w:rsid w:val="0039789E"/>
    <w:rsid w:val="003A1DA5"/>
    <w:rsid w:val="003B7885"/>
    <w:rsid w:val="003C0E67"/>
    <w:rsid w:val="003C3617"/>
    <w:rsid w:val="003C486E"/>
    <w:rsid w:val="003C57DE"/>
    <w:rsid w:val="003C6917"/>
    <w:rsid w:val="003D0348"/>
    <w:rsid w:val="003D263A"/>
    <w:rsid w:val="003E251B"/>
    <w:rsid w:val="003E447B"/>
    <w:rsid w:val="003F347A"/>
    <w:rsid w:val="004034DF"/>
    <w:rsid w:val="00411CD4"/>
    <w:rsid w:val="00415C35"/>
    <w:rsid w:val="00417A25"/>
    <w:rsid w:val="00417C52"/>
    <w:rsid w:val="004244DE"/>
    <w:rsid w:val="004250A9"/>
    <w:rsid w:val="0043186E"/>
    <w:rsid w:val="00436A46"/>
    <w:rsid w:val="00441F3B"/>
    <w:rsid w:val="00445534"/>
    <w:rsid w:val="0044583B"/>
    <w:rsid w:val="0046064C"/>
    <w:rsid w:val="00466446"/>
    <w:rsid w:val="004763CF"/>
    <w:rsid w:val="00481BCA"/>
    <w:rsid w:val="004834E2"/>
    <w:rsid w:val="004874F0"/>
    <w:rsid w:val="00491BDE"/>
    <w:rsid w:val="004A1516"/>
    <w:rsid w:val="004A2DA4"/>
    <w:rsid w:val="004A5434"/>
    <w:rsid w:val="004A748D"/>
    <w:rsid w:val="004B33B6"/>
    <w:rsid w:val="004C6E44"/>
    <w:rsid w:val="004D0AC8"/>
    <w:rsid w:val="004E10FB"/>
    <w:rsid w:val="004E4547"/>
    <w:rsid w:val="004F3B49"/>
    <w:rsid w:val="004F580B"/>
    <w:rsid w:val="00505D43"/>
    <w:rsid w:val="00506BF3"/>
    <w:rsid w:val="0051302C"/>
    <w:rsid w:val="00513F9E"/>
    <w:rsid w:val="00516DD3"/>
    <w:rsid w:val="0052075B"/>
    <w:rsid w:val="005211B7"/>
    <w:rsid w:val="005271AC"/>
    <w:rsid w:val="00535F48"/>
    <w:rsid w:val="00541CAA"/>
    <w:rsid w:val="00545916"/>
    <w:rsid w:val="005506F2"/>
    <w:rsid w:val="00554180"/>
    <w:rsid w:val="00555A7E"/>
    <w:rsid w:val="00555EE6"/>
    <w:rsid w:val="005655A8"/>
    <w:rsid w:val="005719C9"/>
    <w:rsid w:val="005777DE"/>
    <w:rsid w:val="005850FA"/>
    <w:rsid w:val="005858AE"/>
    <w:rsid w:val="005937FA"/>
    <w:rsid w:val="00597F5A"/>
    <w:rsid w:val="005A3648"/>
    <w:rsid w:val="005A4E08"/>
    <w:rsid w:val="005B08F6"/>
    <w:rsid w:val="005B0ED8"/>
    <w:rsid w:val="005B28D2"/>
    <w:rsid w:val="005B5104"/>
    <w:rsid w:val="005C2906"/>
    <w:rsid w:val="005C3F1C"/>
    <w:rsid w:val="005C41BE"/>
    <w:rsid w:val="005C5CFB"/>
    <w:rsid w:val="005D208D"/>
    <w:rsid w:val="005E042A"/>
    <w:rsid w:val="005E1F17"/>
    <w:rsid w:val="005E25A3"/>
    <w:rsid w:val="005E3E13"/>
    <w:rsid w:val="005F3400"/>
    <w:rsid w:val="005F3A29"/>
    <w:rsid w:val="00613792"/>
    <w:rsid w:val="0061668C"/>
    <w:rsid w:val="00635CE6"/>
    <w:rsid w:val="00641E6B"/>
    <w:rsid w:val="00643D4B"/>
    <w:rsid w:val="00654120"/>
    <w:rsid w:val="00661CA4"/>
    <w:rsid w:val="00662CCE"/>
    <w:rsid w:val="006813BF"/>
    <w:rsid w:val="0069602F"/>
    <w:rsid w:val="006A3CBD"/>
    <w:rsid w:val="006B0F2D"/>
    <w:rsid w:val="006B57D0"/>
    <w:rsid w:val="006C5945"/>
    <w:rsid w:val="006D49AB"/>
    <w:rsid w:val="006D4C42"/>
    <w:rsid w:val="006D72AF"/>
    <w:rsid w:val="006D7464"/>
    <w:rsid w:val="006E1EB7"/>
    <w:rsid w:val="006E47C3"/>
    <w:rsid w:val="006E7091"/>
    <w:rsid w:val="006F00A5"/>
    <w:rsid w:val="006F20B3"/>
    <w:rsid w:val="006F6470"/>
    <w:rsid w:val="0071007F"/>
    <w:rsid w:val="00713DA1"/>
    <w:rsid w:val="00722C83"/>
    <w:rsid w:val="00731756"/>
    <w:rsid w:val="00740B8A"/>
    <w:rsid w:val="00745F5A"/>
    <w:rsid w:val="00746A01"/>
    <w:rsid w:val="00751A3B"/>
    <w:rsid w:val="007545A4"/>
    <w:rsid w:val="00763EDB"/>
    <w:rsid w:val="00765008"/>
    <w:rsid w:val="00766A1D"/>
    <w:rsid w:val="00776FA3"/>
    <w:rsid w:val="00781876"/>
    <w:rsid w:val="007820A5"/>
    <w:rsid w:val="00783E49"/>
    <w:rsid w:val="00794FF9"/>
    <w:rsid w:val="00795636"/>
    <w:rsid w:val="00797C05"/>
    <w:rsid w:val="007A1186"/>
    <w:rsid w:val="007A2A11"/>
    <w:rsid w:val="007A4EF7"/>
    <w:rsid w:val="007C6372"/>
    <w:rsid w:val="007C6CB2"/>
    <w:rsid w:val="007D2143"/>
    <w:rsid w:val="007D68FA"/>
    <w:rsid w:val="007E0C74"/>
    <w:rsid w:val="007E209F"/>
    <w:rsid w:val="007E2230"/>
    <w:rsid w:val="007E4C43"/>
    <w:rsid w:val="007E6C74"/>
    <w:rsid w:val="007F0941"/>
    <w:rsid w:val="007F2832"/>
    <w:rsid w:val="008027BE"/>
    <w:rsid w:val="00806399"/>
    <w:rsid w:val="00810253"/>
    <w:rsid w:val="0081275F"/>
    <w:rsid w:val="00812D62"/>
    <w:rsid w:val="00825E52"/>
    <w:rsid w:val="00826FE8"/>
    <w:rsid w:val="00835F51"/>
    <w:rsid w:val="0084072C"/>
    <w:rsid w:val="00840CC0"/>
    <w:rsid w:val="00842E99"/>
    <w:rsid w:val="00844B82"/>
    <w:rsid w:val="00864191"/>
    <w:rsid w:val="00870CEE"/>
    <w:rsid w:val="008759EA"/>
    <w:rsid w:val="00875F52"/>
    <w:rsid w:val="00877AB8"/>
    <w:rsid w:val="00885C10"/>
    <w:rsid w:val="00887802"/>
    <w:rsid w:val="0089652A"/>
    <w:rsid w:val="00896DCD"/>
    <w:rsid w:val="008A0438"/>
    <w:rsid w:val="008A3FFD"/>
    <w:rsid w:val="008B399F"/>
    <w:rsid w:val="008B470F"/>
    <w:rsid w:val="008B5F2C"/>
    <w:rsid w:val="008C1145"/>
    <w:rsid w:val="008C5A9A"/>
    <w:rsid w:val="008D0A35"/>
    <w:rsid w:val="008D6990"/>
    <w:rsid w:val="008E08FA"/>
    <w:rsid w:val="008E0B4A"/>
    <w:rsid w:val="008E3FB2"/>
    <w:rsid w:val="008F175A"/>
    <w:rsid w:val="008F271E"/>
    <w:rsid w:val="008F45C2"/>
    <w:rsid w:val="008F538B"/>
    <w:rsid w:val="00903C1D"/>
    <w:rsid w:val="0090543C"/>
    <w:rsid w:val="009055D6"/>
    <w:rsid w:val="00911942"/>
    <w:rsid w:val="00911F36"/>
    <w:rsid w:val="00913689"/>
    <w:rsid w:val="009204EC"/>
    <w:rsid w:val="009317EA"/>
    <w:rsid w:val="009457DA"/>
    <w:rsid w:val="00952E05"/>
    <w:rsid w:val="00953136"/>
    <w:rsid w:val="0095487D"/>
    <w:rsid w:val="00962EE5"/>
    <w:rsid w:val="00963F9B"/>
    <w:rsid w:val="00970DD6"/>
    <w:rsid w:val="00971BE9"/>
    <w:rsid w:val="0098300E"/>
    <w:rsid w:val="00983B48"/>
    <w:rsid w:val="009878A8"/>
    <w:rsid w:val="0099274B"/>
    <w:rsid w:val="00994513"/>
    <w:rsid w:val="009962B5"/>
    <w:rsid w:val="009A0190"/>
    <w:rsid w:val="009A2382"/>
    <w:rsid w:val="009B1938"/>
    <w:rsid w:val="009B37C2"/>
    <w:rsid w:val="009B6256"/>
    <w:rsid w:val="009C387E"/>
    <w:rsid w:val="009D17A7"/>
    <w:rsid w:val="009E1C8D"/>
    <w:rsid w:val="009E2181"/>
    <w:rsid w:val="009E4F80"/>
    <w:rsid w:val="00A05E7B"/>
    <w:rsid w:val="00A458C1"/>
    <w:rsid w:val="00A56936"/>
    <w:rsid w:val="00A61B23"/>
    <w:rsid w:val="00A70278"/>
    <w:rsid w:val="00A90799"/>
    <w:rsid w:val="00A919E2"/>
    <w:rsid w:val="00A9723C"/>
    <w:rsid w:val="00AA7927"/>
    <w:rsid w:val="00AB0802"/>
    <w:rsid w:val="00AB27E7"/>
    <w:rsid w:val="00AC04F1"/>
    <w:rsid w:val="00AC30DF"/>
    <w:rsid w:val="00AC6189"/>
    <w:rsid w:val="00AC6BDF"/>
    <w:rsid w:val="00AE0502"/>
    <w:rsid w:val="00AE78F1"/>
    <w:rsid w:val="00AF5386"/>
    <w:rsid w:val="00AF589F"/>
    <w:rsid w:val="00B0299F"/>
    <w:rsid w:val="00B07D15"/>
    <w:rsid w:val="00B227CA"/>
    <w:rsid w:val="00B31257"/>
    <w:rsid w:val="00B413D5"/>
    <w:rsid w:val="00B421FE"/>
    <w:rsid w:val="00B53C96"/>
    <w:rsid w:val="00B55D0F"/>
    <w:rsid w:val="00B61444"/>
    <w:rsid w:val="00B626D0"/>
    <w:rsid w:val="00B64768"/>
    <w:rsid w:val="00B65BDE"/>
    <w:rsid w:val="00B66D6A"/>
    <w:rsid w:val="00B679A1"/>
    <w:rsid w:val="00B70466"/>
    <w:rsid w:val="00B728BD"/>
    <w:rsid w:val="00B73E51"/>
    <w:rsid w:val="00B759DB"/>
    <w:rsid w:val="00B829A4"/>
    <w:rsid w:val="00B873FB"/>
    <w:rsid w:val="00B92943"/>
    <w:rsid w:val="00B956C1"/>
    <w:rsid w:val="00BA34D2"/>
    <w:rsid w:val="00BB3A9C"/>
    <w:rsid w:val="00BB6BA4"/>
    <w:rsid w:val="00BB7A8F"/>
    <w:rsid w:val="00BE5331"/>
    <w:rsid w:val="00BF5D07"/>
    <w:rsid w:val="00C029A1"/>
    <w:rsid w:val="00C106CE"/>
    <w:rsid w:val="00C14D83"/>
    <w:rsid w:val="00C16EE3"/>
    <w:rsid w:val="00C16FC7"/>
    <w:rsid w:val="00C25026"/>
    <w:rsid w:val="00C2531C"/>
    <w:rsid w:val="00C300DE"/>
    <w:rsid w:val="00C326BE"/>
    <w:rsid w:val="00C34BE9"/>
    <w:rsid w:val="00C40B69"/>
    <w:rsid w:val="00C4392E"/>
    <w:rsid w:val="00C513F4"/>
    <w:rsid w:val="00C5222B"/>
    <w:rsid w:val="00C54181"/>
    <w:rsid w:val="00C63433"/>
    <w:rsid w:val="00C713F7"/>
    <w:rsid w:val="00C772FB"/>
    <w:rsid w:val="00C874A9"/>
    <w:rsid w:val="00CA036E"/>
    <w:rsid w:val="00CA1495"/>
    <w:rsid w:val="00CA2820"/>
    <w:rsid w:val="00CA5DCA"/>
    <w:rsid w:val="00CA5EF6"/>
    <w:rsid w:val="00CB1401"/>
    <w:rsid w:val="00CB4BEF"/>
    <w:rsid w:val="00CC1390"/>
    <w:rsid w:val="00CC2031"/>
    <w:rsid w:val="00CC3B18"/>
    <w:rsid w:val="00CD1FB1"/>
    <w:rsid w:val="00CD5B57"/>
    <w:rsid w:val="00CD7812"/>
    <w:rsid w:val="00CD7A7A"/>
    <w:rsid w:val="00CE0513"/>
    <w:rsid w:val="00CE50A3"/>
    <w:rsid w:val="00CE5B9D"/>
    <w:rsid w:val="00CF1F08"/>
    <w:rsid w:val="00CF1FCB"/>
    <w:rsid w:val="00CF47E7"/>
    <w:rsid w:val="00D019A1"/>
    <w:rsid w:val="00D02C37"/>
    <w:rsid w:val="00D0420B"/>
    <w:rsid w:val="00D15B89"/>
    <w:rsid w:val="00D15BF0"/>
    <w:rsid w:val="00D249A5"/>
    <w:rsid w:val="00D31BE5"/>
    <w:rsid w:val="00D338D1"/>
    <w:rsid w:val="00D50B9A"/>
    <w:rsid w:val="00D51424"/>
    <w:rsid w:val="00D543FA"/>
    <w:rsid w:val="00D723CA"/>
    <w:rsid w:val="00D84430"/>
    <w:rsid w:val="00D902BA"/>
    <w:rsid w:val="00D92A50"/>
    <w:rsid w:val="00D97498"/>
    <w:rsid w:val="00D97A80"/>
    <w:rsid w:val="00DA1BD2"/>
    <w:rsid w:val="00DB030A"/>
    <w:rsid w:val="00DB0419"/>
    <w:rsid w:val="00DC3CA3"/>
    <w:rsid w:val="00DD458F"/>
    <w:rsid w:val="00DD5061"/>
    <w:rsid w:val="00DD5B0C"/>
    <w:rsid w:val="00DE2ACA"/>
    <w:rsid w:val="00DF3C36"/>
    <w:rsid w:val="00DF4500"/>
    <w:rsid w:val="00E03B7E"/>
    <w:rsid w:val="00E0700D"/>
    <w:rsid w:val="00E125EC"/>
    <w:rsid w:val="00E20B94"/>
    <w:rsid w:val="00E27EF0"/>
    <w:rsid w:val="00E3394E"/>
    <w:rsid w:val="00E3489E"/>
    <w:rsid w:val="00E41BB8"/>
    <w:rsid w:val="00E42116"/>
    <w:rsid w:val="00E52DD8"/>
    <w:rsid w:val="00E54ED1"/>
    <w:rsid w:val="00E55A2A"/>
    <w:rsid w:val="00E626F3"/>
    <w:rsid w:val="00E70C55"/>
    <w:rsid w:val="00E74BC8"/>
    <w:rsid w:val="00E77F9F"/>
    <w:rsid w:val="00E8085B"/>
    <w:rsid w:val="00E90F18"/>
    <w:rsid w:val="00EA32B4"/>
    <w:rsid w:val="00EA36C7"/>
    <w:rsid w:val="00EA6B0B"/>
    <w:rsid w:val="00EB2F29"/>
    <w:rsid w:val="00EC76DE"/>
    <w:rsid w:val="00ED3D80"/>
    <w:rsid w:val="00ED67C8"/>
    <w:rsid w:val="00EE0A52"/>
    <w:rsid w:val="00EE3B12"/>
    <w:rsid w:val="00EE4D96"/>
    <w:rsid w:val="00F10EDC"/>
    <w:rsid w:val="00F1623B"/>
    <w:rsid w:val="00F16543"/>
    <w:rsid w:val="00F23BE4"/>
    <w:rsid w:val="00F34962"/>
    <w:rsid w:val="00F40B78"/>
    <w:rsid w:val="00F54CF7"/>
    <w:rsid w:val="00F554A8"/>
    <w:rsid w:val="00F55A88"/>
    <w:rsid w:val="00F64E0F"/>
    <w:rsid w:val="00F650A7"/>
    <w:rsid w:val="00F7293D"/>
    <w:rsid w:val="00F72D4D"/>
    <w:rsid w:val="00F774CC"/>
    <w:rsid w:val="00F8173A"/>
    <w:rsid w:val="00F8325E"/>
    <w:rsid w:val="00F8508C"/>
    <w:rsid w:val="00F914C1"/>
    <w:rsid w:val="00FA5C5A"/>
    <w:rsid w:val="00FB0EFD"/>
    <w:rsid w:val="00FB1322"/>
    <w:rsid w:val="00FB2AF0"/>
    <w:rsid w:val="00FB7445"/>
    <w:rsid w:val="00FC6E0E"/>
    <w:rsid w:val="00FD1941"/>
    <w:rsid w:val="00FD490A"/>
    <w:rsid w:val="00FD56A8"/>
    <w:rsid w:val="00FF2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5E8AA43B-0153-4150-83E7-B9A6DA115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List_Paragraph,Multilevel para_II,ADB Normal,Liste Paragraf,Colorful List - Accent 11,PDP DOCUMENT SUBTITLE,Liststycke SKL,Normal bullet 2,Bullet list,Table of contents numbered,En tête 1,Foot note,Paragraphe de liste PBLH"/>
    <w:basedOn w:val="Normln"/>
    <w:link w:val="OdstavecseseznamemChar"/>
    <w:uiPriority w:val="34"/>
    <w:qFormat/>
    <w:rsid w:val="00DB030A"/>
    <w:pPr>
      <w:ind w:left="720"/>
      <w:contextualSpacing/>
    </w:pPr>
  </w:style>
  <w:style w:type="paragraph" w:customStyle="1" w:styleId="Default">
    <w:name w:val="Default"/>
    <w:rsid w:val="00CA149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CA1495"/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CA1495"/>
    <w:pPr>
      <w:spacing w:before="90" w:after="90" w:line="384" w:lineRule="atLeast"/>
      <w:ind w:left="120" w:right="120"/>
    </w:pPr>
    <w:rPr>
      <w:rFonts w:ascii="Times New Roman" w:eastAsia="Times New Roman" w:hAnsi="Times New Roman" w:cs="Times New Roman"/>
      <w:sz w:val="26"/>
      <w:szCs w:val="26"/>
      <w:lang w:eastAsia="en-GB"/>
    </w:rPr>
  </w:style>
  <w:style w:type="table" w:styleId="Mkatabulky">
    <w:name w:val="Table Grid"/>
    <w:basedOn w:val="Normlntabulka"/>
    <w:uiPriority w:val="39"/>
    <w:rsid w:val="00AC30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2053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5309"/>
    <w:rPr>
      <w:rFonts w:ascii="Segoe UI" w:hAnsi="Segoe UI" w:cs="Segoe UI"/>
      <w:sz w:val="18"/>
      <w:szCs w:val="18"/>
    </w:rPr>
  </w:style>
  <w:style w:type="character" w:customStyle="1" w:styleId="OdstavecseseznamemChar">
    <w:name w:val="Odstavec se seznamem Char"/>
    <w:aliases w:val="List_Paragraph Char,Multilevel para_II Char,ADB Normal Char,Liste Paragraf Char,Colorful List - Accent 11 Char,PDP DOCUMENT SUBTITLE Char,Liststycke SKL Char,Normal bullet 2 Char,Bullet list Char,Table of contents numbered Char"/>
    <w:basedOn w:val="Standardnpsmoodstavce"/>
    <w:link w:val="Odstavecseseznamem"/>
    <w:uiPriority w:val="34"/>
    <w:qFormat/>
    <w:locked/>
    <w:rsid w:val="000165DC"/>
  </w:style>
  <w:style w:type="character" w:styleId="Odkaznakoment">
    <w:name w:val="annotation reference"/>
    <w:basedOn w:val="Standardnpsmoodstavce"/>
    <w:uiPriority w:val="99"/>
    <w:semiHidden/>
    <w:unhideWhenUsed/>
    <w:rsid w:val="005211B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211B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211B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211B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211B7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1F668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F668F"/>
  </w:style>
  <w:style w:type="paragraph" w:styleId="Zpat">
    <w:name w:val="footer"/>
    <w:basedOn w:val="Normln"/>
    <w:link w:val="ZpatChar"/>
    <w:uiPriority w:val="99"/>
    <w:unhideWhenUsed/>
    <w:rsid w:val="001F668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F668F"/>
  </w:style>
  <w:style w:type="character" w:customStyle="1" w:styleId="Bodytext26ptBold">
    <w:name w:val="Body text|2 + 6 pt;Bold"/>
    <w:basedOn w:val="Standardnpsmoodstavce"/>
    <w:semiHidden/>
    <w:unhideWhenUsed/>
    <w:rsid w:val="006E47C3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en" w:eastAsia="cs-CZ" w:bidi="cs-CZ"/>
    </w:rPr>
  </w:style>
  <w:style w:type="character" w:customStyle="1" w:styleId="Bodytext26pt">
    <w:name w:val="Body text|2 + 6 pt"/>
    <w:basedOn w:val="Standardnpsmoodstavce"/>
    <w:semiHidden/>
    <w:unhideWhenUsed/>
    <w:rsid w:val="006E47C3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en" w:eastAsia="cs-CZ" w:bidi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728BD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728BD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728BD"/>
    <w:rPr>
      <w:vertAlign w:val="superscript"/>
    </w:rPr>
  </w:style>
  <w:style w:type="character" w:customStyle="1" w:styleId="Bodytext2">
    <w:name w:val="Body text|2_"/>
    <w:basedOn w:val="Standardnpsmoodstavce"/>
    <w:link w:val="Bodytext20"/>
    <w:rsid w:val="00B728BD"/>
    <w:rPr>
      <w:rFonts w:ascii="Arial" w:eastAsia="Arial" w:hAnsi="Arial" w:cs="Arial"/>
      <w:sz w:val="13"/>
      <w:szCs w:val="13"/>
      <w:shd w:val="clear" w:color="auto" w:fill="FFFFFF"/>
    </w:rPr>
  </w:style>
  <w:style w:type="paragraph" w:customStyle="1" w:styleId="Bodytext20">
    <w:name w:val="Body text|2"/>
    <w:basedOn w:val="Normln"/>
    <w:link w:val="Bodytext2"/>
    <w:qFormat/>
    <w:rsid w:val="00B728BD"/>
    <w:pPr>
      <w:widowControl w:val="0"/>
      <w:shd w:val="clear" w:color="auto" w:fill="FFFFFF"/>
      <w:spacing w:after="0" w:line="146" w:lineRule="exact"/>
    </w:pPr>
    <w:rPr>
      <w:rFonts w:ascii="Arial" w:eastAsia="Arial" w:hAnsi="Arial" w:cs="Arial"/>
      <w:sz w:val="13"/>
      <w:szCs w:val="1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758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3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78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34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712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65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59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222835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43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7059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14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91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440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2833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360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4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53376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B4B4B4"/>
            <w:bottom w:val="single" w:sz="6" w:space="0" w:color="B4B4B4"/>
            <w:right w:val="single" w:sz="6" w:space="15" w:color="B4B4B4"/>
          </w:divBdr>
          <w:divsChild>
            <w:div w:id="65785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246990">
                  <w:marLeft w:val="-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64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286333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190528">
                              <w:marLeft w:val="0"/>
                              <w:marRight w:val="120"/>
                              <w:marTop w:val="120"/>
                              <w:marBottom w:val="120"/>
                              <w:divBdr>
                                <w:top w:val="single" w:sz="6" w:space="4" w:color="E8E8E8"/>
                                <w:left w:val="single" w:sz="6" w:space="0" w:color="E8E8E8"/>
                                <w:bottom w:val="single" w:sz="6" w:space="31" w:color="E8E8E8"/>
                                <w:right w:val="single" w:sz="6" w:space="0" w:color="E8E8E8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810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47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93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857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34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331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5776307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1701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3142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64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704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48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884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673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_odt_hyperlink" Type="http://schemas.openxmlformats.org/officeDocument/2006/relationships/hyperlink" Target="https://www.onlinedoctranslator.com/cs/?utm_source=onlinedoctranslator&amp;utm_medium=docx&amp;utm_campaign=attribution" TargetMode="Externa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_odt_logo" Type="http://schemas.openxmlformats.org/officeDocument/2006/relationships/image" Target="media/odt_attribution_logo.png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onlinedoctranslator.com/cs/?utm_source=onlinedoctranslator&amp;utm_medium=docx&amp;utm_campaign=attribution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F24940-992F-4967-905D-F0FDD27A6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1966</Words>
  <Characters>11606</Characters>
  <Application>Microsoft Office Word</Application>
  <DocSecurity>0</DocSecurity>
  <Lines>96</Lines>
  <Paragraphs>27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European Investment Bank</Company>
  <LinksUpToDate>false</LinksUpToDate>
  <CharactersWithSpaces>13545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ASIKAINEN Anna-Leena</dc:creator>
  <cp:keywords/>
  <dc:description/>
  <cp:lastModifiedBy>Lorenzová Petra</cp:lastModifiedBy>
  <cp:revision>2</cp:revision>
  <cp:lastPrinted>2019-07-09T13:49:00Z</cp:lastPrinted>
  <dcterms:created xsi:type="dcterms:W3CDTF">2021-12-17T09:51:00Z</dcterms:created>
  <dcterms:modified xsi:type="dcterms:W3CDTF">2021-12-17T09:51:00Z</dcterms:modified>
</cp:coreProperties>
</file>