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EF1F39" w14:textId="723D42AC" w:rsidR="007F0941" w:rsidRDefault="009E2181">
      <w:pPr>
        <w:jc w:val="both"/>
        <w:rPr>
          <w:rFonts w:ascii="Arial" w:hAnsi="Arial" w:cs="Arial"/>
          <w:b/>
          <w:sz w:val="28"/>
        </w:rPr>
      </w:pPr>
      <w:r>
        <w:rPr>
          <w:rFonts w:ascii="Arial" w:hAnsi="Arial" w:cs="Arial"/>
          <w:b/>
          <w:sz w:val="28"/>
        </w:rPr>
        <w:t xml:space="preserve">Just </w:t>
      </w:r>
      <w:r w:rsidR="00DD5B0C">
        <w:rPr>
          <w:rFonts w:ascii="Arial" w:hAnsi="Arial" w:cs="Arial"/>
          <w:b/>
          <w:sz w:val="28"/>
        </w:rPr>
        <w:t xml:space="preserve">Transition </w:t>
      </w:r>
      <w:r>
        <w:rPr>
          <w:rFonts w:ascii="Arial" w:hAnsi="Arial" w:cs="Arial"/>
          <w:b/>
          <w:sz w:val="28"/>
        </w:rPr>
        <w:t xml:space="preserve">Fund </w:t>
      </w:r>
      <w:r w:rsidR="00DD5B0C">
        <w:rPr>
          <w:rFonts w:ascii="Arial" w:hAnsi="Arial" w:cs="Arial"/>
          <w:b/>
          <w:sz w:val="28"/>
        </w:rPr>
        <w:t xml:space="preserve">— </w:t>
      </w:r>
      <w:r w:rsidR="00CA5EF6">
        <w:rPr>
          <w:rFonts w:ascii="Arial" w:hAnsi="Arial" w:cs="Arial"/>
          <w:b/>
          <w:sz w:val="28"/>
        </w:rPr>
        <w:t>Strategic</w:t>
      </w:r>
      <w:r w:rsidR="00DD5B0C">
        <w:rPr>
          <w:rFonts w:ascii="Arial" w:hAnsi="Arial" w:cs="Arial"/>
          <w:b/>
          <w:sz w:val="28"/>
        </w:rPr>
        <w:t xml:space="preserve"> Project Proposal Assessment</w:t>
      </w:r>
    </w:p>
    <w:p w14:paraId="788D9E7A" w14:textId="77777777" w:rsidR="007F0941" w:rsidRDefault="00DD5B0C">
      <w:pPr>
        <w:jc w:val="both"/>
        <w:rPr>
          <w:rFonts w:ascii="Arial" w:hAnsi="Arial" w:cs="Arial"/>
          <w:i/>
          <w:sz w:val="16"/>
        </w:rPr>
      </w:pPr>
      <w:r>
        <w:rPr>
          <w:rFonts w:ascii="Arial" w:hAnsi="Arial" w:cs="Arial"/>
          <w:i/>
          <w:sz w:val="16"/>
        </w:rPr>
        <w:t>(Assessment reporting on relevant information provided in the project documentation)</w:t>
      </w:r>
    </w:p>
    <w:p w14:paraId="6C05A72D" w14:textId="77777777" w:rsidR="007F2832" w:rsidRDefault="007F2832">
      <w:pPr>
        <w:jc w:val="both"/>
        <w:rPr>
          <w:rFonts w:ascii="Arial" w:hAnsi="Arial" w:cs="Arial"/>
          <w:b/>
          <w:sz w:val="24"/>
          <w:u w:val="single"/>
        </w:rPr>
      </w:pPr>
    </w:p>
    <w:p w14:paraId="2FEB691A" w14:textId="77777777" w:rsidR="007F2832" w:rsidRDefault="007F2832" w:rsidP="007F2832">
      <w:pPr>
        <w:jc w:val="both"/>
        <w:rPr>
          <w:rFonts w:ascii="Arial" w:hAnsi="Arial" w:cs="Arial"/>
          <w:b/>
          <w:sz w:val="24"/>
          <w:u w:val="single"/>
        </w:rPr>
      </w:pPr>
      <w:r>
        <w:rPr>
          <w:rFonts w:ascii="Arial" w:hAnsi="Arial" w:cs="Arial"/>
          <w:b/>
          <w:sz w:val="24"/>
          <w:u w:val="single"/>
        </w:rPr>
        <w:t>Project details</w:t>
      </w:r>
    </w:p>
    <w:p w14:paraId="752BD8BE" w14:textId="77777777" w:rsidR="007F2832" w:rsidRDefault="007F2832" w:rsidP="007F2832">
      <w:pPr>
        <w:jc w:val="both"/>
        <w:rPr>
          <w:rFonts w:ascii="Arial" w:hAnsi="Arial" w:cs="Arial"/>
          <w:b/>
          <w:sz w:val="24"/>
          <w:u w:val="single"/>
        </w:rPr>
      </w:pPr>
    </w:p>
    <w:tbl>
      <w:tblPr>
        <w:tblStyle w:val="TableGrid"/>
        <w:tblW w:w="0" w:type="auto"/>
        <w:tblCellMar>
          <w:top w:w="85" w:type="dxa"/>
          <w:bottom w:w="85" w:type="dxa"/>
        </w:tblCellMar>
        <w:tblLook w:val="04A0" w:firstRow="1" w:lastRow="0" w:firstColumn="1" w:lastColumn="0" w:noHBand="0" w:noVBand="1"/>
      </w:tblPr>
      <w:tblGrid>
        <w:gridCol w:w="4508"/>
        <w:gridCol w:w="4508"/>
      </w:tblGrid>
      <w:tr w:rsidR="007F2832" w14:paraId="02A479CE" w14:textId="77777777" w:rsidTr="00A70278">
        <w:tc>
          <w:tcPr>
            <w:tcW w:w="4508" w:type="dxa"/>
          </w:tcPr>
          <w:p w14:paraId="2E26EA1C" w14:textId="77777777" w:rsidR="007F2832" w:rsidRPr="00A70278" w:rsidRDefault="007F2832" w:rsidP="007F2832">
            <w:pPr>
              <w:jc w:val="both"/>
              <w:rPr>
                <w:rFonts w:ascii="Arial" w:hAnsi="Arial" w:cs="Arial"/>
                <w:i/>
                <w:sz w:val="24"/>
              </w:rPr>
            </w:pPr>
            <w:r w:rsidRPr="004250A9">
              <w:rPr>
                <w:rFonts w:ascii="Arial" w:hAnsi="Arial" w:cs="Arial"/>
                <w:i/>
                <w:sz w:val="24"/>
              </w:rPr>
              <w:t>Project name</w:t>
            </w:r>
          </w:p>
        </w:tc>
        <w:tc>
          <w:tcPr>
            <w:tcW w:w="4508" w:type="dxa"/>
          </w:tcPr>
          <w:p w14:paraId="25EFFC08" w14:textId="5A1541BE" w:rsidR="007F2832" w:rsidRPr="007E4C43" w:rsidRDefault="00870CEE" w:rsidP="007F2832">
            <w:pPr>
              <w:jc w:val="both"/>
              <w:rPr>
                <w:rFonts w:ascii="Arial" w:hAnsi="Arial" w:cs="Arial"/>
                <w:sz w:val="24"/>
                <w:szCs w:val="24"/>
                <w:u w:val="single"/>
              </w:rPr>
            </w:pPr>
            <w:r w:rsidRPr="007E4C43">
              <w:rPr>
                <w:rFonts w:ascii="Arial" w:hAnsi="Arial" w:cs="Arial"/>
                <w:color w:val="000000"/>
                <w:sz w:val="24"/>
                <w:szCs w:val="24"/>
              </w:rPr>
              <w:t>Reconstruction and modernisation of the Central Industrial School of Ceramics and glass Karlovy Vary</w:t>
            </w:r>
          </w:p>
        </w:tc>
      </w:tr>
      <w:tr w:rsidR="00870CEE" w14:paraId="020922AC" w14:textId="77777777" w:rsidTr="00452ACC">
        <w:tc>
          <w:tcPr>
            <w:tcW w:w="4508" w:type="dxa"/>
          </w:tcPr>
          <w:p w14:paraId="7AE17E78" w14:textId="77777777" w:rsidR="00870CEE" w:rsidRPr="00A70278" w:rsidRDefault="00870CEE" w:rsidP="00870CEE">
            <w:pPr>
              <w:jc w:val="both"/>
              <w:rPr>
                <w:rFonts w:ascii="Arial" w:hAnsi="Arial" w:cs="Arial"/>
                <w:i/>
                <w:sz w:val="24"/>
              </w:rPr>
            </w:pPr>
            <w:r w:rsidRPr="00A70278">
              <w:rPr>
                <w:rFonts w:ascii="Arial" w:hAnsi="Arial" w:cs="Arial"/>
                <w:i/>
                <w:sz w:val="24"/>
              </w:rPr>
              <w:t>Beneficiary</w:t>
            </w:r>
          </w:p>
        </w:tc>
        <w:tc>
          <w:tcPr>
            <w:tcW w:w="4508" w:type="dxa"/>
            <w:vAlign w:val="bottom"/>
          </w:tcPr>
          <w:p w14:paraId="37BDA8FF" w14:textId="053A01FA" w:rsidR="00870CEE" w:rsidRPr="007E4C43" w:rsidRDefault="00870CEE" w:rsidP="00870CEE">
            <w:pPr>
              <w:jc w:val="both"/>
              <w:rPr>
                <w:rFonts w:ascii="Arial" w:hAnsi="Arial" w:cs="Arial"/>
                <w:b/>
                <w:sz w:val="24"/>
                <w:szCs w:val="24"/>
                <w:u w:val="single"/>
              </w:rPr>
            </w:pPr>
            <w:proofErr w:type="spellStart"/>
            <w:r w:rsidRPr="007E4C43">
              <w:rPr>
                <w:rFonts w:ascii="Arial" w:hAnsi="Arial" w:cs="Arial"/>
                <w:color w:val="000000"/>
                <w:sz w:val="24"/>
                <w:szCs w:val="24"/>
              </w:rPr>
              <w:t>Karlovarský</w:t>
            </w:r>
            <w:proofErr w:type="spellEnd"/>
            <w:r w:rsidRPr="007E4C43">
              <w:rPr>
                <w:rFonts w:ascii="Arial" w:hAnsi="Arial" w:cs="Arial"/>
                <w:color w:val="000000"/>
                <w:sz w:val="24"/>
                <w:szCs w:val="24"/>
              </w:rPr>
              <w:t xml:space="preserve"> region</w:t>
            </w:r>
          </w:p>
        </w:tc>
      </w:tr>
      <w:tr w:rsidR="00870CEE" w14:paraId="2092B890" w14:textId="77777777" w:rsidTr="00452ACC">
        <w:tc>
          <w:tcPr>
            <w:tcW w:w="4508" w:type="dxa"/>
          </w:tcPr>
          <w:p w14:paraId="3383C068" w14:textId="77777777" w:rsidR="00870CEE" w:rsidRPr="00A70278" w:rsidRDefault="00870CEE" w:rsidP="00870CEE">
            <w:pPr>
              <w:jc w:val="both"/>
              <w:rPr>
                <w:rFonts w:ascii="Arial" w:hAnsi="Arial" w:cs="Arial"/>
                <w:i/>
                <w:sz w:val="24"/>
              </w:rPr>
            </w:pPr>
            <w:r w:rsidRPr="004250A9">
              <w:rPr>
                <w:rFonts w:ascii="Arial" w:hAnsi="Arial" w:cs="Arial"/>
                <w:i/>
                <w:sz w:val="24"/>
              </w:rPr>
              <w:t>Estimated cost</w:t>
            </w:r>
          </w:p>
        </w:tc>
        <w:tc>
          <w:tcPr>
            <w:tcW w:w="4508" w:type="dxa"/>
            <w:vAlign w:val="bottom"/>
          </w:tcPr>
          <w:p w14:paraId="607917CB" w14:textId="43B35092" w:rsidR="00870CEE" w:rsidRPr="007E4C43" w:rsidRDefault="00870CEE" w:rsidP="00870CEE">
            <w:pPr>
              <w:jc w:val="both"/>
              <w:rPr>
                <w:rFonts w:ascii="Arial" w:hAnsi="Arial" w:cs="Arial"/>
                <w:b/>
                <w:sz w:val="24"/>
                <w:szCs w:val="24"/>
                <w:u w:val="single"/>
              </w:rPr>
            </w:pPr>
            <w:r w:rsidRPr="007E4C43">
              <w:rPr>
                <w:rFonts w:ascii="Arial" w:hAnsi="Arial" w:cs="Arial"/>
                <w:color w:val="000000"/>
                <w:sz w:val="24"/>
                <w:szCs w:val="24"/>
              </w:rPr>
              <w:t>CZK 680 000 000</w:t>
            </w:r>
            <w:r w:rsidR="001B63A4">
              <w:rPr>
                <w:rFonts w:ascii="Arial" w:hAnsi="Arial" w:cs="Arial"/>
                <w:color w:val="000000"/>
                <w:sz w:val="24"/>
                <w:szCs w:val="24"/>
              </w:rPr>
              <w:t xml:space="preserve"> (</w:t>
            </w:r>
            <w:r w:rsidR="001B63A4" w:rsidRPr="002E29B9">
              <w:rPr>
                <w:rFonts w:ascii="Arial" w:hAnsi="Arial" w:cs="Arial"/>
                <w:sz w:val="24"/>
                <w:szCs w:val="24"/>
              </w:rPr>
              <w:t>EUR 26.5m</w:t>
            </w:r>
            <w:r w:rsidR="001B63A4">
              <w:rPr>
                <w:rFonts w:ascii="Arial" w:hAnsi="Arial" w:cs="Arial"/>
                <w:sz w:val="24"/>
                <w:szCs w:val="24"/>
              </w:rPr>
              <w:t>)</w:t>
            </w:r>
          </w:p>
        </w:tc>
      </w:tr>
      <w:tr w:rsidR="00870CEE" w14:paraId="031B56C1" w14:textId="77777777" w:rsidTr="000162A3">
        <w:tc>
          <w:tcPr>
            <w:tcW w:w="4508" w:type="dxa"/>
          </w:tcPr>
          <w:p w14:paraId="75DD6ECB" w14:textId="38A3A42C" w:rsidR="00870CEE" w:rsidRPr="00FB0EFD" w:rsidRDefault="00870CEE" w:rsidP="00870CEE">
            <w:pPr>
              <w:jc w:val="both"/>
              <w:rPr>
                <w:color w:val="000000"/>
              </w:rPr>
            </w:pPr>
            <w:r w:rsidRPr="006E47C3">
              <w:rPr>
                <w:rFonts w:ascii="Arial" w:hAnsi="Arial" w:cs="Arial"/>
                <w:i/>
                <w:sz w:val="24"/>
              </w:rPr>
              <w:t xml:space="preserve">Estimated timeline for implementation </w:t>
            </w:r>
          </w:p>
        </w:tc>
        <w:tc>
          <w:tcPr>
            <w:tcW w:w="4508" w:type="dxa"/>
            <w:vAlign w:val="bottom"/>
          </w:tcPr>
          <w:p w14:paraId="4AF06339" w14:textId="3CD1E197" w:rsidR="00870CEE" w:rsidRPr="007E4C43" w:rsidRDefault="00870CEE" w:rsidP="00870CEE">
            <w:pPr>
              <w:jc w:val="both"/>
              <w:rPr>
                <w:rFonts w:ascii="Arial" w:hAnsi="Arial" w:cs="Arial"/>
                <w:color w:val="000000"/>
                <w:sz w:val="24"/>
                <w:szCs w:val="24"/>
              </w:rPr>
            </w:pPr>
            <w:r w:rsidRPr="007E4C43">
              <w:rPr>
                <w:rFonts w:ascii="Arial" w:hAnsi="Arial" w:cs="Arial"/>
                <w:color w:val="000000"/>
                <w:sz w:val="24"/>
                <w:szCs w:val="24"/>
              </w:rPr>
              <w:t>2021-2025</w:t>
            </w:r>
          </w:p>
        </w:tc>
      </w:tr>
      <w:tr w:rsidR="004250A9" w14:paraId="0985CF6B" w14:textId="77777777" w:rsidTr="00A70278">
        <w:tc>
          <w:tcPr>
            <w:tcW w:w="4508" w:type="dxa"/>
          </w:tcPr>
          <w:p w14:paraId="37BF42C8" w14:textId="77777777" w:rsidR="004250A9" w:rsidRPr="004250A9" w:rsidRDefault="004250A9" w:rsidP="007F2832">
            <w:pPr>
              <w:jc w:val="both"/>
              <w:rPr>
                <w:rFonts w:ascii="Arial" w:hAnsi="Arial" w:cs="Arial"/>
                <w:i/>
                <w:sz w:val="24"/>
              </w:rPr>
            </w:pPr>
            <w:r w:rsidRPr="004250A9">
              <w:rPr>
                <w:rFonts w:ascii="Arial" w:hAnsi="Arial" w:cs="Arial"/>
                <w:i/>
                <w:sz w:val="24"/>
              </w:rPr>
              <w:t>Location</w:t>
            </w:r>
          </w:p>
        </w:tc>
        <w:tc>
          <w:tcPr>
            <w:tcW w:w="4508" w:type="dxa"/>
          </w:tcPr>
          <w:p w14:paraId="3F71BDA9" w14:textId="685C445A" w:rsidR="004250A9" w:rsidRPr="007E4C43" w:rsidRDefault="00B70466" w:rsidP="007F2832">
            <w:pPr>
              <w:jc w:val="both"/>
              <w:rPr>
                <w:rFonts w:ascii="Arial" w:hAnsi="Arial" w:cs="Arial"/>
                <w:sz w:val="24"/>
                <w:szCs w:val="24"/>
              </w:rPr>
            </w:pPr>
            <w:proofErr w:type="spellStart"/>
            <w:r w:rsidRPr="007E4C43">
              <w:rPr>
                <w:rFonts w:ascii="Arial" w:hAnsi="Arial" w:cs="Arial"/>
                <w:sz w:val="24"/>
                <w:szCs w:val="24"/>
              </w:rPr>
              <w:t>Rybár</w:t>
            </w:r>
            <w:proofErr w:type="spellEnd"/>
          </w:p>
        </w:tc>
      </w:tr>
      <w:tr w:rsidR="004250A9" w14:paraId="4C7CC878" w14:textId="77777777" w:rsidTr="00A70278">
        <w:tc>
          <w:tcPr>
            <w:tcW w:w="4508" w:type="dxa"/>
          </w:tcPr>
          <w:p w14:paraId="6D72F93C" w14:textId="77777777" w:rsidR="004250A9" w:rsidRPr="004250A9" w:rsidRDefault="004250A9" w:rsidP="007F2832">
            <w:pPr>
              <w:jc w:val="both"/>
              <w:rPr>
                <w:rFonts w:ascii="Arial" w:hAnsi="Arial" w:cs="Arial"/>
                <w:i/>
                <w:sz w:val="24"/>
              </w:rPr>
            </w:pPr>
            <w:r w:rsidRPr="004250A9">
              <w:rPr>
                <w:rFonts w:ascii="Arial" w:hAnsi="Arial" w:cs="Arial"/>
                <w:i/>
                <w:sz w:val="24"/>
              </w:rPr>
              <w:t>Region</w:t>
            </w:r>
          </w:p>
        </w:tc>
        <w:tc>
          <w:tcPr>
            <w:tcW w:w="4508" w:type="dxa"/>
          </w:tcPr>
          <w:p w14:paraId="6ED069EE" w14:textId="17E3347C" w:rsidR="004250A9" w:rsidRPr="007E4C43" w:rsidRDefault="00C54181" w:rsidP="007F2832">
            <w:pPr>
              <w:jc w:val="both"/>
              <w:rPr>
                <w:rFonts w:ascii="Arial" w:hAnsi="Arial" w:cs="Arial"/>
                <w:b/>
                <w:sz w:val="24"/>
                <w:szCs w:val="24"/>
                <w:u w:val="single"/>
              </w:rPr>
            </w:pPr>
            <w:r w:rsidRPr="007E4C43">
              <w:rPr>
                <w:rFonts w:ascii="Arial" w:hAnsi="Arial" w:cs="Arial"/>
                <w:color w:val="000000"/>
                <w:sz w:val="24"/>
                <w:szCs w:val="24"/>
              </w:rPr>
              <w:t>Karlovy Vary</w:t>
            </w:r>
          </w:p>
        </w:tc>
      </w:tr>
    </w:tbl>
    <w:p w14:paraId="6A238AEB" w14:textId="77777777" w:rsidR="007F2832" w:rsidRDefault="007F2832" w:rsidP="007F2832">
      <w:pPr>
        <w:jc w:val="both"/>
        <w:rPr>
          <w:rFonts w:ascii="Arial" w:hAnsi="Arial" w:cs="Arial"/>
          <w:b/>
          <w:sz w:val="24"/>
          <w:u w:val="single"/>
        </w:rPr>
      </w:pPr>
    </w:p>
    <w:p w14:paraId="7015DFF9" w14:textId="1B7C7490" w:rsidR="00970DD6" w:rsidRDefault="00970DD6" w:rsidP="00970DD6">
      <w:pPr>
        <w:jc w:val="both"/>
        <w:rPr>
          <w:rFonts w:ascii="Arial" w:hAnsi="Arial" w:cs="Arial"/>
          <w:b/>
          <w:sz w:val="24"/>
          <w:u w:val="single"/>
        </w:rPr>
      </w:pPr>
      <w:r>
        <w:rPr>
          <w:rFonts w:ascii="Arial" w:hAnsi="Arial" w:cs="Arial"/>
          <w:b/>
          <w:sz w:val="24"/>
          <w:u w:val="single"/>
        </w:rPr>
        <w:t>Project Description</w:t>
      </w:r>
    </w:p>
    <w:tbl>
      <w:tblPr>
        <w:tblStyle w:val="TableGrid"/>
        <w:tblW w:w="9445" w:type="dxa"/>
        <w:tblLook w:val="04A0" w:firstRow="1" w:lastRow="0" w:firstColumn="1" w:lastColumn="0" w:noHBand="0" w:noVBand="1"/>
      </w:tblPr>
      <w:tblGrid>
        <w:gridCol w:w="9445"/>
      </w:tblGrid>
      <w:tr w:rsidR="00970DD6" w14:paraId="538CF2BE" w14:textId="77777777" w:rsidTr="009C079C">
        <w:trPr>
          <w:trHeight w:val="1614"/>
        </w:trPr>
        <w:tc>
          <w:tcPr>
            <w:tcW w:w="9445" w:type="dxa"/>
          </w:tcPr>
          <w:p w14:paraId="445C5C2A" w14:textId="7513E250" w:rsidR="009E1C8D" w:rsidRPr="009E1C8D" w:rsidRDefault="00B70466" w:rsidP="009E1C8D">
            <w:pPr>
              <w:pStyle w:val="ListParagraph"/>
              <w:spacing w:before="60" w:after="60"/>
              <w:ind w:left="360"/>
              <w:jc w:val="both"/>
              <w:rPr>
                <w:rFonts w:ascii="Arial" w:hAnsi="Arial" w:cs="Arial"/>
                <w:sz w:val="24"/>
                <w:szCs w:val="24"/>
              </w:rPr>
            </w:pPr>
            <w:r w:rsidRPr="00CA2820">
              <w:rPr>
                <w:rFonts w:ascii="Arial" w:hAnsi="Arial" w:cs="Arial"/>
                <w:sz w:val="24"/>
                <w:szCs w:val="24"/>
              </w:rPr>
              <w:t xml:space="preserve">The project concerns </w:t>
            </w:r>
            <w:r w:rsidR="004C6E44" w:rsidRPr="00CA2820">
              <w:rPr>
                <w:rFonts w:ascii="Arial" w:hAnsi="Arial" w:cs="Arial"/>
                <w:sz w:val="24"/>
                <w:szCs w:val="24"/>
              </w:rPr>
              <w:t>renovat</w:t>
            </w:r>
            <w:r w:rsidRPr="00CA2820">
              <w:rPr>
                <w:rFonts w:ascii="Arial" w:hAnsi="Arial" w:cs="Arial"/>
                <w:sz w:val="24"/>
                <w:szCs w:val="24"/>
              </w:rPr>
              <w:t>ion</w:t>
            </w:r>
            <w:r w:rsidR="004C6E44" w:rsidRPr="00CA2820">
              <w:rPr>
                <w:rFonts w:ascii="Arial" w:hAnsi="Arial" w:cs="Arial"/>
                <w:sz w:val="24"/>
                <w:szCs w:val="24"/>
              </w:rPr>
              <w:t xml:space="preserve"> and </w:t>
            </w:r>
            <w:r w:rsidR="004D0AC8">
              <w:rPr>
                <w:rFonts w:ascii="Arial" w:hAnsi="Arial" w:cs="Arial"/>
                <w:sz w:val="24"/>
                <w:szCs w:val="24"/>
              </w:rPr>
              <w:t>modernization</w:t>
            </w:r>
            <w:r w:rsidR="004D0AC8" w:rsidRPr="00CA2820">
              <w:rPr>
                <w:rFonts w:ascii="Arial" w:hAnsi="Arial" w:cs="Arial"/>
                <w:sz w:val="24"/>
                <w:szCs w:val="24"/>
              </w:rPr>
              <w:t xml:space="preserve"> </w:t>
            </w:r>
            <w:r w:rsidRPr="00CA2820">
              <w:rPr>
                <w:rFonts w:ascii="Arial" w:hAnsi="Arial" w:cs="Arial"/>
                <w:sz w:val="24"/>
                <w:szCs w:val="24"/>
              </w:rPr>
              <w:t>of</w:t>
            </w:r>
            <w:r w:rsidR="004C6E44" w:rsidRPr="00CA2820">
              <w:rPr>
                <w:rFonts w:ascii="Arial" w:hAnsi="Arial" w:cs="Arial"/>
                <w:sz w:val="24"/>
                <w:szCs w:val="24"/>
              </w:rPr>
              <w:t xml:space="preserve"> the educational facilities of the Central Industrial School of Ceramic and </w:t>
            </w:r>
            <w:r w:rsidRPr="00CA2820">
              <w:rPr>
                <w:rFonts w:ascii="Arial" w:hAnsi="Arial" w:cs="Arial"/>
                <w:sz w:val="24"/>
                <w:szCs w:val="24"/>
              </w:rPr>
              <w:t>G</w:t>
            </w:r>
            <w:r w:rsidR="004C6E44" w:rsidRPr="00CA2820">
              <w:rPr>
                <w:rFonts w:ascii="Arial" w:hAnsi="Arial" w:cs="Arial"/>
                <w:sz w:val="24"/>
                <w:szCs w:val="24"/>
              </w:rPr>
              <w:t>lass</w:t>
            </w:r>
            <w:r w:rsidR="00CD7A7A">
              <w:rPr>
                <w:rFonts w:ascii="Arial" w:hAnsi="Arial" w:cs="Arial"/>
                <w:sz w:val="24"/>
                <w:szCs w:val="24"/>
              </w:rPr>
              <w:t xml:space="preserve"> (“the School”)</w:t>
            </w:r>
            <w:r w:rsidR="004C6E44" w:rsidRPr="00CA2820">
              <w:rPr>
                <w:rFonts w:ascii="Arial" w:hAnsi="Arial" w:cs="Arial"/>
                <w:sz w:val="24"/>
                <w:szCs w:val="24"/>
              </w:rPr>
              <w:t xml:space="preserve"> </w:t>
            </w:r>
            <w:r w:rsidRPr="00CA2820">
              <w:rPr>
                <w:rFonts w:ascii="Arial" w:hAnsi="Arial" w:cs="Arial"/>
                <w:sz w:val="24"/>
                <w:szCs w:val="24"/>
              </w:rPr>
              <w:t xml:space="preserve">in </w:t>
            </w:r>
            <w:r w:rsidR="004C6E44" w:rsidRPr="00CA2820">
              <w:rPr>
                <w:rFonts w:ascii="Arial" w:hAnsi="Arial" w:cs="Arial"/>
                <w:sz w:val="24"/>
                <w:szCs w:val="24"/>
              </w:rPr>
              <w:t xml:space="preserve">Karlovy Vary. </w:t>
            </w:r>
            <w:r w:rsidRPr="00CA2820">
              <w:rPr>
                <w:rFonts w:ascii="Arial" w:hAnsi="Arial" w:cs="Arial"/>
                <w:sz w:val="24"/>
                <w:szCs w:val="24"/>
              </w:rPr>
              <w:t xml:space="preserve">The renovation will complement the historical secondary school building with a new building that will be structurally linked to the existing building. This building complex will be used for educational, cultural, research </w:t>
            </w:r>
            <w:r w:rsidR="009E1C8D">
              <w:rPr>
                <w:rFonts w:ascii="Arial" w:hAnsi="Arial" w:cs="Arial"/>
                <w:sz w:val="24"/>
                <w:szCs w:val="24"/>
              </w:rPr>
              <w:t xml:space="preserve">and community </w:t>
            </w:r>
            <w:r w:rsidRPr="00CA2820">
              <w:rPr>
                <w:rFonts w:ascii="Arial" w:hAnsi="Arial" w:cs="Arial"/>
                <w:sz w:val="24"/>
                <w:szCs w:val="24"/>
              </w:rPr>
              <w:t xml:space="preserve">purposes. In </w:t>
            </w:r>
            <w:r w:rsidR="0095487D" w:rsidRPr="00CA2820">
              <w:rPr>
                <w:rFonts w:ascii="Arial" w:hAnsi="Arial" w:cs="Arial"/>
                <w:sz w:val="24"/>
                <w:szCs w:val="24"/>
              </w:rPr>
              <w:t>addition, it will host two galleries managed by the School (permanent collections and current exhibitions), a cafeteria, a library and a multi-functional hall for lectures, theatre, concerts, cinema</w:t>
            </w:r>
            <w:r w:rsidR="00193071" w:rsidRPr="00CA2820">
              <w:rPr>
                <w:rFonts w:ascii="Arial" w:hAnsi="Arial" w:cs="Arial"/>
                <w:sz w:val="24"/>
                <w:szCs w:val="24"/>
              </w:rPr>
              <w:t>,</w:t>
            </w:r>
            <w:r w:rsidR="0095487D" w:rsidRPr="00CA2820">
              <w:rPr>
                <w:rFonts w:ascii="Arial" w:hAnsi="Arial" w:cs="Arial"/>
                <w:sz w:val="24"/>
                <w:szCs w:val="24"/>
              </w:rPr>
              <w:t xml:space="preserve"> and conferences.</w:t>
            </w:r>
            <w:r w:rsidR="00193071" w:rsidRPr="00CA2820">
              <w:rPr>
                <w:rFonts w:ascii="Arial" w:hAnsi="Arial" w:cs="Arial"/>
                <w:sz w:val="24"/>
                <w:szCs w:val="24"/>
              </w:rPr>
              <w:t xml:space="preserve"> </w:t>
            </w:r>
            <w:r w:rsidR="009E1C8D" w:rsidRPr="009E1C8D">
              <w:rPr>
                <w:rFonts w:ascii="Arial" w:hAnsi="Arial" w:cs="Arial"/>
                <w:sz w:val="24"/>
                <w:szCs w:val="24"/>
              </w:rPr>
              <w:t>Besides the Central Industrial School of Ceramic and Glass, the new</w:t>
            </w:r>
            <w:r w:rsidRPr="009E1C8D">
              <w:rPr>
                <w:rFonts w:ascii="Arial" w:hAnsi="Arial" w:cs="Arial"/>
                <w:sz w:val="24"/>
                <w:szCs w:val="24"/>
              </w:rPr>
              <w:t xml:space="preserve"> facilities will be used </w:t>
            </w:r>
            <w:r w:rsidR="009E1C8D" w:rsidRPr="009E1C8D">
              <w:rPr>
                <w:rFonts w:ascii="Arial" w:hAnsi="Arial" w:cs="Arial"/>
                <w:sz w:val="24"/>
                <w:szCs w:val="24"/>
              </w:rPr>
              <w:t>by</w:t>
            </w:r>
            <w:r w:rsidRPr="009E1C8D">
              <w:rPr>
                <w:rFonts w:ascii="Arial" w:hAnsi="Arial" w:cs="Arial"/>
                <w:sz w:val="24"/>
                <w:szCs w:val="24"/>
              </w:rPr>
              <w:t xml:space="preserve"> Cultural and Creative Industries (Centre of Arts and Design) and </w:t>
            </w:r>
            <w:proofErr w:type="spellStart"/>
            <w:r w:rsidRPr="009E1C8D">
              <w:rPr>
                <w:rFonts w:ascii="Arial" w:hAnsi="Arial" w:cs="Arial"/>
                <w:sz w:val="24"/>
                <w:szCs w:val="24"/>
              </w:rPr>
              <w:t>Karlovarské</w:t>
            </w:r>
            <w:proofErr w:type="spellEnd"/>
            <w:r w:rsidRPr="009E1C8D">
              <w:rPr>
                <w:rFonts w:ascii="Arial" w:hAnsi="Arial" w:cs="Arial"/>
                <w:sz w:val="24"/>
                <w:szCs w:val="24"/>
              </w:rPr>
              <w:t xml:space="preserve"> Innovation Centre (KIC)</w:t>
            </w:r>
            <w:r w:rsidR="009E1C8D" w:rsidRPr="009E1C8D">
              <w:rPr>
                <w:rFonts w:ascii="Arial" w:hAnsi="Arial" w:cs="Arial"/>
                <w:sz w:val="24"/>
                <w:szCs w:val="24"/>
              </w:rPr>
              <w:t xml:space="preserve"> for their own events</w:t>
            </w:r>
            <w:r w:rsidRPr="009E1C8D">
              <w:rPr>
                <w:rFonts w:ascii="Arial" w:hAnsi="Arial" w:cs="Arial"/>
                <w:sz w:val="24"/>
                <w:szCs w:val="24"/>
              </w:rPr>
              <w:t>.</w:t>
            </w:r>
            <w:r w:rsidR="009E1C8D" w:rsidRPr="009E1C8D">
              <w:rPr>
                <w:rFonts w:ascii="Arial" w:hAnsi="Arial" w:cs="Arial"/>
                <w:sz w:val="24"/>
                <w:szCs w:val="24"/>
              </w:rPr>
              <w:t xml:space="preserve"> The premi</w:t>
            </w:r>
            <w:r w:rsidR="007D2143">
              <w:rPr>
                <w:rFonts w:ascii="Arial" w:hAnsi="Arial" w:cs="Arial"/>
                <w:sz w:val="24"/>
                <w:szCs w:val="24"/>
              </w:rPr>
              <w:t>s</w:t>
            </w:r>
            <w:r w:rsidR="009E1C8D" w:rsidRPr="009E1C8D">
              <w:rPr>
                <w:rFonts w:ascii="Arial" w:hAnsi="Arial" w:cs="Arial"/>
                <w:sz w:val="24"/>
                <w:szCs w:val="24"/>
              </w:rPr>
              <w:t xml:space="preserve">es will be open to school pupils and the general public as well. </w:t>
            </w:r>
          </w:p>
          <w:p w14:paraId="7F8967A5" w14:textId="77777777" w:rsidR="00FD1941" w:rsidRDefault="00FD1941" w:rsidP="0046064C">
            <w:pPr>
              <w:pStyle w:val="ListParagraph"/>
              <w:spacing w:before="60" w:after="60"/>
              <w:ind w:left="360"/>
              <w:jc w:val="both"/>
              <w:rPr>
                <w:rFonts w:ascii="Arial" w:hAnsi="Arial" w:cs="Arial"/>
                <w:sz w:val="24"/>
                <w:szCs w:val="24"/>
              </w:rPr>
            </w:pPr>
          </w:p>
          <w:p w14:paraId="555A2884" w14:textId="77777777" w:rsidR="003C0E67" w:rsidRPr="00DB0419" w:rsidRDefault="003C0E67" w:rsidP="003C0E67">
            <w:pPr>
              <w:pStyle w:val="ListParagraph"/>
              <w:spacing w:before="60" w:after="60"/>
              <w:ind w:left="360"/>
              <w:jc w:val="both"/>
              <w:rPr>
                <w:rFonts w:ascii="Arial" w:hAnsi="Arial" w:cs="Arial"/>
                <w:sz w:val="24"/>
                <w:szCs w:val="24"/>
              </w:rPr>
            </w:pPr>
            <w:r w:rsidRPr="00DB0419">
              <w:rPr>
                <w:rFonts w:ascii="Arial" w:hAnsi="Arial" w:cs="Arial"/>
                <w:sz w:val="24"/>
                <w:szCs w:val="24"/>
              </w:rPr>
              <w:t xml:space="preserve">The project has synergy with the Cultural and Creative Industries project, which will create an art and design centre on the premises and together these projects will support the region’s transformation to higher value-added creative industries. The link with the </w:t>
            </w:r>
            <w:proofErr w:type="spellStart"/>
            <w:r w:rsidRPr="00DB0419">
              <w:rPr>
                <w:rFonts w:ascii="Arial" w:hAnsi="Arial" w:cs="Arial"/>
                <w:sz w:val="24"/>
                <w:szCs w:val="24"/>
              </w:rPr>
              <w:t>Karlovarské</w:t>
            </w:r>
            <w:proofErr w:type="spellEnd"/>
            <w:r w:rsidRPr="00DB0419">
              <w:rPr>
                <w:rFonts w:ascii="Arial" w:hAnsi="Arial" w:cs="Arial"/>
                <w:sz w:val="24"/>
                <w:szCs w:val="24"/>
              </w:rPr>
              <w:t xml:space="preserve"> Innovation Centre (KIC) project consists of the implementation of activities linked to the RIS3 objectives, namely improving regional innovation performance and competitiveness, e.g. by creating start-ups. In addition, several Czech universities have </w:t>
            </w:r>
            <w:proofErr w:type="spellStart"/>
            <w:r>
              <w:rPr>
                <w:rFonts w:ascii="Arial" w:hAnsi="Arial" w:cs="Arial"/>
                <w:sz w:val="24"/>
                <w:szCs w:val="24"/>
              </w:rPr>
              <w:t>signaled</w:t>
            </w:r>
            <w:proofErr w:type="spellEnd"/>
            <w:r w:rsidRPr="00DB0419">
              <w:rPr>
                <w:rFonts w:ascii="Arial" w:hAnsi="Arial" w:cs="Arial"/>
                <w:sz w:val="24"/>
                <w:szCs w:val="24"/>
              </w:rPr>
              <w:t xml:space="preserve"> their interest in the project with </w:t>
            </w:r>
            <w:proofErr w:type="spellStart"/>
            <w:r w:rsidRPr="00DB0419">
              <w:rPr>
                <w:rFonts w:ascii="Arial" w:hAnsi="Arial" w:cs="Arial"/>
                <w:sz w:val="24"/>
                <w:szCs w:val="24"/>
              </w:rPr>
              <w:t>LoIs</w:t>
            </w:r>
            <w:proofErr w:type="spellEnd"/>
            <w:r w:rsidRPr="00DB0419">
              <w:rPr>
                <w:rFonts w:ascii="Arial" w:hAnsi="Arial" w:cs="Arial"/>
                <w:sz w:val="24"/>
                <w:szCs w:val="24"/>
              </w:rPr>
              <w:t xml:space="preserve">. </w:t>
            </w:r>
          </w:p>
          <w:p w14:paraId="65CF0F5B" w14:textId="18C959DE" w:rsidR="003C0E67" w:rsidRPr="0046064C" w:rsidRDefault="003C0E67" w:rsidP="0046064C">
            <w:pPr>
              <w:pStyle w:val="ListParagraph"/>
              <w:spacing w:before="60" w:after="60"/>
              <w:ind w:left="360"/>
              <w:jc w:val="both"/>
              <w:rPr>
                <w:rFonts w:ascii="Arial" w:hAnsi="Arial" w:cs="Arial"/>
                <w:sz w:val="24"/>
                <w:szCs w:val="24"/>
              </w:rPr>
            </w:pPr>
          </w:p>
        </w:tc>
      </w:tr>
    </w:tbl>
    <w:p w14:paraId="709545B7" w14:textId="77777777" w:rsidR="007F2832" w:rsidRDefault="007F2832">
      <w:pPr>
        <w:jc w:val="both"/>
        <w:rPr>
          <w:rFonts w:ascii="Arial" w:hAnsi="Arial" w:cs="Arial"/>
          <w:b/>
          <w:sz w:val="24"/>
          <w:u w:val="single"/>
        </w:rPr>
      </w:pPr>
    </w:p>
    <w:p w14:paraId="29A07059" w14:textId="1C70877C" w:rsidR="007F0941" w:rsidRDefault="00DD5B0C">
      <w:pPr>
        <w:jc w:val="both"/>
        <w:rPr>
          <w:rFonts w:ascii="Arial" w:hAnsi="Arial" w:cs="Arial"/>
          <w:b/>
          <w:sz w:val="24"/>
          <w:u w:val="single"/>
        </w:rPr>
      </w:pPr>
      <w:r>
        <w:rPr>
          <w:rFonts w:ascii="Arial" w:hAnsi="Arial" w:cs="Arial"/>
          <w:b/>
          <w:sz w:val="24"/>
          <w:u w:val="single"/>
        </w:rPr>
        <w:t>Project Eligibility</w:t>
      </w:r>
    </w:p>
    <w:tbl>
      <w:tblPr>
        <w:tblStyle w:val="TableGrid"/>
        <w:tblW w:w="9445" w:type="dxa"/>
        <w:tblLook w:val="04A0" w:firstRow="1" w:lastRow="0" w:firstColumn="1" w:lastColumn="0" w:noHBand="0" w:noVBand="1"/>
      </w:tblPr>
      <w:tblGrid>
        <w:gridCol w:w="9445"/>
      </w:tblGrid>
      <w:tr w:rsidR="00C25026" w14:paraId="2CC128AD" w14:textId="77777777" w:rsidTr="0059418C">
        <w:tc>
          <w:tcPr>
            <w:tcW w:w="9445" w:type="dxa"/>
            <w:shd w:val="clear" w:color="auto" w:fill="D9D9D9" w:themeFill="background1" w:themeFillShade="D9"/>
          </w:tcPr>
          <w:p w14:paraId="4DB13F53" w14:textId="77777777" w:rsidR="00751A3B" w:rsidRDefault="00751A3B" w:rsidP="00751A3B">
            <w:pPr>
              <w:spacing w:before="60" w:after="60"/>
              <w:jc w:val="both"/>
              <w:rPr>
                <w:rFonts w:ascii="Arial" w:hAnsi="Arial" w:cs="Arial"/>
                <w:b/>
                <w:sz w:val="24"/>
              </w:rPr>
            </w:pPr>
            <w:r>
              <w:rPr>
                <w:rFonts w:ascii="Arial" w:hAnsi="Arial" w:cs="Arial"/>
                <w:b/>
                <w:sz w:val="24"/>
              </w:rPr>
              <w:t xml:space="preserve">Alignment with Article 2: the Specific Objective of the JTF </w:t>
            </w:r>
          </w:p>
          <w:p w14:paraId="3343026F" w14:textId="23D738FB" w:rsidR="00C25026" w:rsidRPr="0059418C" w:rsidRDefault="00751A3B" w:rsidP="00751A3B">
            <w:pPr>
              <w:spacing w:before="60" w:after="60"/>
              <w:jc w:val="both"/>
              <w:rPr>
                <w:rFonts w:ascii="Arial" w:hAnsi="Arial" w:cs="Arial"/>
                <w:b/>
                <w:i/>
                <w:sz w:val="24"/>
              </w:rPr>
            </w:pPr>
            <w:r w:rsidRPr="0059418C">
              <w:rPr>
                <w:rFonts w:ascii="Arial" w:hAnsi="Arial" w:cs="Arial"/>
                <w:b/>
                <w:i/>
                <w:sz w:val="24"/>
              </w:rPr>
              <w:lastRenderedPageBreak/>
              <w:t>“</w:t>
            </w:r>
            <w:r w:rsidRPr="00C061CB">
              <w:rPr>
                <w:i/>
              </w:rPr>
              <w:t>the JTF shall contribute to the single specific objective of enabling regions and people to address the social, employment, economic and environmental impacts of the transition towards the Union’s 2030 targets for energy and climate and a climate-neutral economy of the Union by 205</w:t>
            </w:r>
            <w:r>
              <w:rPr>
                <w:i/>
              </w:rPr>
              <w:t>0, based on the Paris Agreement</w:t>
            </w:r>
            <w:r w:rsidRPr="0059418C">
              <w:rPr>
                <w:i/>
              </w:rPr>
              <w:t>.”</w:t>
            </w:r>
          </w:p>
        </w:tc>
      </w:tr>
      <w:tr w:rsidR="00C25026" w14:paraId="5058A188" w14:textId="77777777" w:rsidTr="00884B19">
        <w:trPr>
          <w:trHeight w:val="1614"/>
        </w:trPr>
        <w:tc>
          <w:tcPr>
            <w:tcW w:w="9445" w:type="dxa"/>
          </w:tcPr>
          <w:p w14:paraId="4F6EA9CF" w14:textId="1D6B2FDC" w:rsidR="006D72AF" w:rsidRPr="00864191" w:rsidRDefault="007C6CB2" w:rsidP="006D72AF">
            <w:pPr>
              <w:pStyle w:val="ListParagraph"/>
              <w:spacing w:before="60" w:after="60"/>
              <w:ind w:left="360"/>
              <w:jc w:val="both"/>
              <w:rPr>
                <w:rFonts w:ascii="Arial" w:hAnsi="Arial" w:cs="Arial"/>
                <w:sz w:val="24"/>
                <w:szCs w:val="24"/>
              </w:rPr>
            </w:pPr>
            <w:r w:rsidRPr="006D72AF">
              <w:rPr>
                <w:rFonts w:ascii="Arial" w:hAnsi="Arial" w:cs="Arial"/>
                <w:sz w:val="24"/>
                <w:szCs w:val="24"/>
              </w:rPr>
              <w:lastRenderedPageBreak/>
              <w:t xml:space="preserve">The ultimate goal of the </w:t>
            </w:r>
            <w:r w:rsidR="006E7091" w:rsidRPr="006D72AF">
              <w:rPr>
                <w:rFonts w:ascii="Arial" w:hAnsi="Arial" w:cs="Arial"/>
                <w:sz w:val="24"/>
                <w:szCs w:val="24"/>
              </w:rPr>
              <w:t>project</w:t>
            </w:r>
            <w:r w:rsidRPr="006D72AF">
              <w:rPr>
                <w:rFonts w:ascii="Arial" w:hAnsi="Arial" w:cs="Arial"/>
                <w:sz w:val="24"/>
                <w:szCs w:val="24"/>
              </w:rPr>
              <w:t xml:space="preserve"> is to </w:t>
            </w:r>
            <w:r w:rsidR="006E7091" w:rsidRPr="006D72AF">
              <w:rPr>
                <w:rFonts w:ascii="Arial" w:hAnsi="Arial" w:cs="Arial"/>
                <w:sz w:val="24"/>
                <w:szCs w:val="24"/>
              </w:rPr>
              <w:t>develop sectors</w:t>
            </w:r>
            <w:r w:rsidRPr="006D72AF">
              <w:rPr>
                <w:rFonts w:ascii="Arial" w:hAnsi="Arial" w:cs="Arial"/>
                <w:sz w:val="24"/>
                <w:szCs w:val="24"/>
              </w:rPr>
              <w:t xml:space="preserve"> traditional in the region by providing more and better education, </w:t>
            </w:r>
            <w:r w:rsidR="004A748D">
              <w:rPr>
                <w:rFonts w:ascii="Arial" w:hAnsi="Arial" w:cs="Arial"/>
                <w:sz w:val="24"/>
                <w:szCs w:val="24"/>
              </w:rPr>
              <w:t>offering</w:t>
            </w:r>
            <w:r w:rsidR="004A748D" w:rsidRPr="006D72AF">
              <w:rPr>
                <w:rFonts w:ascii="Arial" w:hAnsi="Arial" w:cs="Arial"/>
                <w:sz w:val="24"/>
                <w:szCs w:val="24"/>
              </w:rPr>
              <w:t xml:space="preserve"> </w:t>
            </w:r>
            <w:r w:rsidRPr="006D72AF">
              <w:rPr>
                <w:rFonts w:ascii="Arial" w:hAnsi="Arial" w:cs="Arial"/>
                <w:sz w:val="24"/>
                <w:szCs w:val="24"/>
              </w:rPr>
              <w:t xml:space="preserve">life-long learning for the local workforce in the sector, and </w:t>
            </w:r>
            <w:r w:rsidR="004A748D">
              <w:rPr>
                <w:rFonts w:ascii="Arial" w:hAnsi="Arial" w:cs="Arial"/>
                <w:sz w:val="24"/>
                <w:szCs w:val="24"/>
              </w:rPr>
              <w:t>acting</w:t>
            </w:r>
            <w:r w:rsidR="004A748D" w:rsidRPr="006D72AF">
              <w:rPr>
                <w:rFonts w:ascii="Arial" w:hAnsi="Arial" w:cs="Arial"/>
                <w:sz w:val="24"/>
                <w:szCs w:val="24"/>
              </w:rPr>
              <w:t xml:space="preserve"> </w:t>
            </w:r>
            <w:r w:rsidRPr="006D72AF">
              <w:rPr>
                <w:rFonts w:ascii="Arial" w:hAnsi="Arial" w:cs="Arial"/>
                <w:sz w:val="24"/>
                <w:szCs w:val="24"/>
              </w:rPr>
              <w:t xml:space="preserve">as a meeting place to increase the attractiveness and liveability of the area. The project will facilitate local education combined with opportunities to remain in the region after graduation and </w:t>
            </w:r>
            <w:r w:rsidR="001C4439" w:rsidRPr="006D72AF">
              <w:rPr>
                <w:rFonts w:ascii="Arial" w:hAnsi="Arial" w:cs="Arial"/>
                <w:sz w:val="24"/>
                <w:szCs w:val="24"/>
              </w:rPr>
              <w:t>up-and</w:t>
            </w:r>
            <w:r w:rsidRPr="006D72AF">
              <w:rPr>
                <w:rFonts w:ascii="Arial" w:hAnsi="Arial" w:cs="Arial"/>
                <w:sz w:val="24"/>
                <w:szCs w:val="24"/>
              </w:rPr>
              <w:t xml:space="preserve"> reskill</w:t>
            </w:r>
            <w:r w:rsidR="001C4439" w:rsidRPr="006D72AF">
              <w:rPr>
                <w:rFonts w:ascii="Arial" w:hAnsi="Arial" w:cs="Arial"/>
                <w:sz w:val="24"/>
                <w:szCs w:val="24"/>
              </w:rPr>
              <w:t>ing of the current workforce.</w:t>
            </w:r>
            <w:r w:rsidR="00466446" w:rsidRPr="006D72AF">
              <w:rPr>
                <w:rFonts w:ascii="Arial" w:hAnsi="Arial" w:cs="Arial"/>
                <w:sz w:val="24"/>
                <w:szCs w:val="24"/>
              </w:rPr>
              <w:t xml:space="preserve"> </w:t>
            </w:r>
            <w:r w:rsidR="00513F9E" w:rsidRPr="00513F9E">
              <w:rPr>
                <w:rFonts w:ascii="Arial" w:hAnsi="Arial" w:cs="Arial"/>
                <w:sz w:val="24"/>
                <w:szCs w:val="24"/>
              </w:rPr>
              <w:t>The project provides professional qualifications meeting the needs of the local firms for people with jobs at risk.</w:t>
            </w:r>
            <w:r w:rsidR="00513F9E">
              <w:rPr>
                <w:rFonts w:ascii="Arial" w:hAnsi="Arial" w:cs="Arial"/>
                <w:sz w:val="24"/>
                <w:szCs w:val="24"/>
              </w:rPr>
              <w:t xml:space="preserve"> </w:t>
            </w:r>
            <w:r w:rsidR="006D72AF" w:rsidRPr="006D72AF">
              <w:rPr>
                <w:rFonts w:ascii="Arial" w:hAnsi="Arial" w:cs="Arial"/>
                <w:sz w:val="24"/>
                <w:szCs w:val="24"/>
              </w:rPr>
              <w:t xml:space="preserve">The project will also contribute to the development of environmentally friendly technologies for ceramics and glass production together with regional universities and </w:t>
            </w:r>
            <w:r w:rsidR="00FD1941">
              <w:rPr>
                <w:rFonts w:ascii="Arial" w:hAnsi="Arial" w:cs="Arial"/>
                <w:sz w:val="24"/>
                <w:szCs w:val="24"/>
              </w:rPr>
              <w:t xml:space="preserve">leading </w:t>
            </w:r>
            <w:r w:rsidR="006D72AF" w:rsidRPr="006D72AF">
              <w:rPr>
                <w:rFonts w:ascii="Arial" w:hAnsi="Arial" w:cs="Arial"/>
                <w:sz w:val="24"/>
                <w:szCs w:val="24"/>
              </w:rPr>
              <w:t>firms</w:t>
            </w:r>
            <w:r w:rsidR="006D72AF" w:rsidRPr="00896DCD">
              <w:rPr>
                <w:rFonts w:ascii="Arial" w:hAnsi="Arial" w:cs="Arial"/>
                <w:sz w:val="24"/>
                <w:szCs w:val="24"/>
              </w:rPr>
              <w:t xml:space="preserve">. </w:t>
            </w:r>
            <w:r w:rsidR="004A748D" w:rsidRPr="00896DCD">
              <w:rPr>
                <w:rFonts w:ascii="Arial" w:hAnsi="Arial" w:cs="Arial"/>
                <w:sz w:val="24"/>
                <w:szCs w:val="24"/>
              </w:rPr>
              <w:t xml:space="preserve">The education </w:t>
            </w:r>
            <w:r w:rsidR="004F3B49" w:rsidRPr="00896DCD">
              <w:rPr>
                <w:rFonts w:ascii="Arial" w:hAnsi="Arial" w:cs="Arial"/>
                <w:sz w:val="24"/>
                <w:szCs w:val="24"/>
              </w:rPr>
              <w:t xml:space="preserve">offer will be widened to cover fields adjacent </w:t>
            </w:r>
            <w:r w:rsidR="00FD1941" w:rsidRPr="00896DCD">
              <w:rPr>
                <w:rFonts w:ascii="Arial" w:hAnsi="Arial" w:cs="Arial"/>
                <w:sz w:val="24"/>
                <w:szCs w:val="24"/>
              </w:rPr>
              <w:t>to glass and ceramics, including new disciplines focusing on design, multimedia, ecology and environment</w:t>
            </w:r>
            <w:r w:rsidR="004A748D" w:rsidRPr="00896DCD">
              <w:rPr>
                <w:rFonts w:ascii="Arial" w:hAnsi="Arial" w:cs="Arial"/>
                <w:sz w:val="24"/>
                <w:szCs w:val="24"/>
              </w:rPr>
              <w:t>,</w:t>
            </w:r>
            <w:r w:rsidR="00FD1941" w:rsidRPr="00896DCD">
              <w:rPr>
                <w:rFonts w:ascii="Arial" w:hAnsi="Arial" w:cs="Arial"/>
                <w:sz w:val="24"/>
                <w:szCs w:val="24"/>
              </w:rPr>
              <w:t xml:space="preserve"> and chemistry. </w:t>
            </w:r>
            <w:r w:rsidR="006D72AF" w:rsidRPr="00896DCD">
              <w:rPr>
                <w:rFonts w:ascii="Arial" w:hAnsi="Arial" w:cs="Arial"/>
                <w:sz w:val="24"/>
                <w:szCs w:val="24"/>
              </w:rPr>
              <w:t xml:space="preserve">Providing the latest technological knowledge through education and </w:t>
            </w:r>
            <w:r w:rsidR="004A748D" w:rsidRPr="00896DCD">
              <w:rPr>
                <w:rFonts w:ascii="Arial" w:hAnsi="Arial" w:cs="Arial"/>
                <w:sz w:val="24"/>
                <w:szCs w:val="24"/>
              </w:rPr>
              <w:t>training</w:t>
            </w:r>
            <w:r w:rsidR="006D72AF" w:rsidRPr="00896DCD">
              <w:rPr>
                <w:rFonts w:ascii="Arial" w:hAnsi="Arial" w:cs="Arial"/>
                <w:sz w:val="24"/>
                <w:szCs w:val="24"/>
              </w:rPr>
              <w:t xml:space="preserve">, the project will increase </w:t>
            </w:r>
            <w:r w:rsidR="004A748D" w:rsidRPr="00896DCD">
              <w:rPr>
                <w:rFonts w:ascii="Arial" w:hAnsi="Arial" w:cs="Arial"/>
                <w:sz w:val="24"/>
                <w:szCs w:val="24"/>
              </w:rPr>
              <w:t xml:space="preserve">the </w:t>
            </w:r>
            <w:r w:rsidR="006D72AF" w:rsidRPr="00DB0419">
              <w:rPr>
                <w:rFonts w:ascii="Arial" w:hAnsi="Arial" w:cs="Arial"/>
                <w:sz w:val="24"/>
                <w:szCs w:val="24"/>
              </w:rPr>
              <w:t>innovation potential of the local firms</w:t>
            </w:r>
            <w:r w:rsidR="004A748D" w:rsidRPr="00DB0419">
              <w:rPr>
                <w:rFonts w:ascii="Arial" w:hAnsi="Arial" w:cs="Arial"/>
                <w:sz w:val="24"/>
                <w:szCs w:val="24"/>
              </w:rPr>
              <w:t>, support their</w:t>
            </w:r>
            <w:r w:rsidR="004A748D" w:rsidRPr="00F554A8">
              <w:rPr>
                <w:rFonts w:ascii="Arial" w:hAnsi="Arial" w:cs="Arial"/>
                <w:sz w:val="24"/>
                <w:szCs w:val="24"/>
              </w:rPr>
              <w:t xml:space="preserve"> move towards more specialty, </w:t>
            </w:r>
            <w:r w:rsidR="004A748D" w:rsidRPr="00513F9E">
              <w:rPr>
                <w:rFonts w:ascii="Arial" w:hAnsi="Arial" w:cs="Arial"/>
                <w:sz w:val="24"/>
                <w:szCs w:val="24"/>
              </w:rPr>
              <w:t xml:space="preserve">small-batch and higher value-added products. </w:t>
            </w:r>
            <w:r w:rsidR="006D72AF" w:rsidRPr="00513F9E">
              <w:rPr>
                <w:rFonts w:ascii="Arial" w:hAnsi="Arial" w:cs="Arial"/>
                <w:sz w:val="24"/>
                <w:szCs w:val="24"/>
              </w:rPr>
              <w:t>Therefore, th</w:t>
            </w:r>
            <w:r w:rsidR="006D72AF" w:rsidRPr="00864191">
              <w:rPr>
                <w:rFonts w:ascii="Arial" w:hAnsi="Arial" w:cs="Arial"/>
                <w:sz w:val="24"/>
                <w:szCs w:val="24"/>
              </w:rPr>
              <w:t xml:space="preserve">e project will benefit directly businesses that already exist in the region.  </w:t>
            </w:r>
          </w:p>
          <w:p w14:paraId="10F155ED" w14:textId="77777777" w:rsidR="00DB0419" w:rsidRPr="003852DD" w:rsidRDefault="00DB0419" w:rsidP="00DB0419">
            <w:pPr>
              <w:pStyle w:val="ListParagraph"/>
              <w:spacing w:before="60" w:after="60"/>
              <w:ind w:left="360"/>
              <w:jc w:val="both"/>
              <w:rPr>
                <w:rFonts w:ascii="Arial" w:hAnsi="Arial" w:cs="Arial"/>
                <w:sz w:val="24"/>
                <w:szCs w:val="24"/>
              </w:rPr>
            </w:pPr>
          </w:p>
          <w:p w14:paraId="3C22C2AD" w14:textId="6AD330AC" w:rsidR="00812D62" w:rsidRPr="00EE3B12" w:rsidRDefault="00EE3B12" w:rsidP="00812D62">
            <w:pPr>
              <w:pStyle w:val="ListParagraph"/>
              <w:spacing w:before="60" w:after="60"/>
              <w:ind w:left="360"/>
              <w:jc w:val="both"/>
              <w:rPr>
                <w:rFonts w:ascii="Arial" w:hAnsi="Arial" w:cs="Arial"/>
                <w:sz w:val="24"/>
                <w:szCs w:val="24"/>
              </w:rPr>
            </w:pPr>
            <w:r>
              <w:rPr>
                <w:rFonts w:ascii="Arial" w:hAnsi="Arial" w:cs="Arial"/>
                <w:sz w:val="24"/>
                <w:szCs w:val="24"/>
              </w:rPr>
              <w:t>P</w:t>
            </w:r>
            <w:r w:rsidR="00812D62" w:rsidRPr="00EE3B12">
              <w:rPr>
                <w:rFonts w:ascii="Arial" w:hAnsi="Arial" w:cs="Arial"/>
                <w:sz w:val="24"/>
                <w:szCs w:val="24"/>
              </w:rPr>
              <w:t xml:space="preserve">art of the education and </w:t>
            </w:r>
            <w:r>
              <w:rPr>
                <w:rFonts w:ascii="Arial" w:hAnsi="Arial" w:cs="Arial"/>
                <w:sz w:val="24"/>
                <w:szCs w:val="24"/>
              </w:rPr>
              <w:t>training</w:t>
            </w:r>
            <w:r w:rsidRPr="00EE3B12">
              <w:rPr>
                <w:rFonts w:ascii="Arial" w:hAnsi="Arial" w:cs="Arial"/>
                <w:sz w:val="24"/>
                <w:szCs w:val="24"/>
              </w:rPr>
              <w:t xml:space="preserve"> </w:t>
            </w:r>
            <w:r w:rsidR="00812D62" w:rsidRPr="00EE3B12">
              <w:rPr>
                <w:rFonts w:ascii="Arial" w:hAnsi="Arial" w:cs="Arial"/>
                <w:sz w:val="24"/>
                <w:szCs w:val="24"/>
              </w:rPr>
              <w:t>will be planned and executed in cooperation with local firms in or</w:t>
            </w:r>
            <w:r w:rsidRPr="00EE3B12">
              <w:rPr>
                <w:rFonts w:ascii="Arial" w:hAnsi="Arial" w:cs="Arial"/>
                <w:sz w:val="24"/>
                <w:szCs w:val="24"/>
              </w:rPr>
              <w:t xml:space="preserve">der to respond </w:t>
            </w:r>
            <w:r w:rsidR="00812D62" w:rsidRPr="00EE3B12">
              <w:rPr>
                <w:rFonts w:ascii="Arial" w:hAnsi="Arial" w:cs="Arial"/>
                <w:sz w:val="24"/>
                <w:szCs w:val="24"/>
              </w:rPr>
              <w:t xml:space="preserve">to their needs. One of the goals is </w:t>
            </w:r>
            <w:r w:rsidRPr="00EE3B12">
              <w:rPr>
                <w:rFonts w:ascii="Arial" w:hAnsi="Arial" w:cs="Arial"/>
                <w:sz w:val="24"/>
                <w:szCs w:val="24"/>
              </w:rPr>
              <w:t>to</w:t>
            </w:r>
            <w:r>
              <w:rPr>
                <w:rFonts w:ascii="Arial" w:hAnsi="Arial" w:cs="Arial"/>
                <w:sz w:val="24"/>
                <w:szCs w:val="24"/>
              </w:rPr>
              <w:t xml:space="preserve"> </w:t>
            </w:r>
            <w:r w:rsidR="00812D62" w:rsidRPr="00EE3B12">
              <w:rPr>
                <w:rFonts w:ascii="Arial" w:hAnsi="Arial" w:cs="Arial"/>
                <w:sz w:val="24"/>
                <w:szCs w:val="24"/>
              </w:rPr>
              <w:t xml:space="preserve">support the glass and ceramics firms to move towards more environmentally friendly products and processes by bringing new technologies, innovations and circular practices into the firms’ toolboxes. Therefore, the project is expected to contribute to </w:t>
            </w:r>
            <w:r w:rsidRPr="00EE3B12">
              <w:rPr>
                <w:rFonts w:ascii="Arial" w:hAnsi="Arial" w:cs="Arial"/>
                <w:sz w:val="24"/>
                <w:szCs w:val="24"/>
              </w:rPr>
              <w:t xml:space="preserve">sustainable development in the sector and the region. </w:t>
            </w:r>
          </w:p>
          <w:p w14:paraId="5776197F" w14:textId="77777777" w:rsidR="00812D62" w:rsidRDefault="00812D62" w:rsidP="006E7091">
            <w:pPr>
              <w:pStyle w:val="ListParagraph"/>
              <w:spacing w:before="60" w:after="60"/>
              <w:ind w:left="360"/>
              <w:jc w:val="both"/>
              <w:rPr>
                <w:rFonts w:ascii="Arial" w:hAnsi="Arial" w:cs="Arial"/>
                <w:i/>
                <w:sz w:val="24"/>
                <w:szCs w:val="24"/>
              </w:rPr>
            </w:pPr>
          </w:p>
          <w:p w14:paraId="4EFC913F" w14:textId="6DBAE3D1" w:rsidR="00E626F3" w:rsidRDefault="00EE3B12" w:rsidP="00E626F3">
            <w:pPr>
              <w:pStyle w:val="ListParagraph"/>
              <w:spacing w:before="60" w:after="60"/>
              <w:ind w:left="360"/>
              <w:jc w:val="both"/>
              <w:rPr>
                <w:rFonts w:ascii="Arial" w:hAnsi="Arial" w:cs="Arial"/>
                <w:i/>
                <w:sz w:val="24"/>
                <w:szCs w:val="24"/>
              </w:rPr>
            </w:pPr>
            <w:r>
              <w:rPr>
                <w:rFonts w:ascii="Arial" w:hAnsi="Arial" w:cs="Arial"/>
                <w:sz w:val="24"/>
                <w:szCs w:val="24"/>
              </w:rPr>
              <w:t>The sustainability aspect in t</w:t>
            </w:r>
            <w:r w:rsidR="00E626F3" w:rsidRPr="00EE3B12">
              <w:rPr>
                <w:rFonts w:ascii="Arial" w:hAnsi="Arial" w:cs="Arial"/>
                <w:sz w:val="24"/>
                <w:szCs w:val="24"/>
              </w:rPr>
              <w:t xml:space="preserve">he </w:t>
            </w:r>
            <w:r w:rsidR="00864191" w:rsidRPr="00EE3B12">
              <w:rPr>
                <w:rFonts w:ascii="Arial" w:hAnsi="Arial" w:cs="Arial"/>
                <w:sz w:val="24"/>
                <w:szCs w:val="24"/>
              </w:rPr>
              <w:t xml:space="preserve">renovation and construction will be </w:t>
            </w:r>
            <w:r>
              <w:rPr>
                <w:rFonts w:ascii="Arial" w:hAnsi="Arial" w:cs="Arial"/>
                <w:sz w:val="24"/>
                <w:szCs w:val="24"/>
              </w:rPr>
              <w:t xml:space="preserve">accounted for by building </w:t>
            </w:r>
            <w:r w:rsidR="00864191" w:rsidRPr="00EE3B12">
              <w:rPr>
                <w:rFonts w:ascii="Arial" w:hAnsi="Arial" w:cs="Arial"/>
                <w:sz w:val="24"/>
                <w:szCs w:val="24"/>
              </w:rPr>
              <w:t xml:space="preserve">according to the </w:t>
            </w:r>
            <w:r w:rsidR="00E626F3" w:rsidRPr="00EE3B12">
              <w:rPr>
                <w:rFonts w:ascii="Arial" w:hAnsi="Arial" w:cs="Arial"/>
                <w:sz w:val="24"/>
                <w:szCs w:val="24"/>
              </w:rPr>
              <w:t xml:space="preserve">principles of sustainable </w:t>
            </w:r>
            <w:r w:rsidR="00864191" w:rsidRPr="00EE3B12">
              <w:rPr>
                <w:rFonts w:ascii="Arial" w:hAnsi="Arial" w:cs="Arial"/>
                <w:sz w:val="24"/>
                <w:szCs w:val="24"/>
              </w:rPr>
              <w:t>construction</w:t>
            </w:r>
            <w:r w:rsidR="00E626F3" w:rsidRPr="00EE3B12">
              <w:rPr>
                <w:rFonts w:ascii="Arial" w:hAnsi="Arial" w:cs="Arial"/>
                <w:sz w:val="24"/>
                <w:szCs w:val="24"/>
              </w:rPr>
              <w:t xml:space="preserve">. </w:t>
            </w:r>
            <w:r w:rsidRPr="00EE3B12">
              <w:rPr>
                <w:rFonts w:ascii="Arial" w:hAnsi="Arial" w:cs="Arial"/>
                <w:sz w:val="24"/>
                <w:szCs w:val="24"/>
              </w:rPr>
              <w:t>The School is accessible by local public transport.</w:t>
            </w:r>
          </w:p>
          <w:p w14:paraId="09425236" w14:textId="493768C3" w:rsidR="003C57DE" w:rsidRPr="00FB0EFD" w:rsidRDefault="003C57DE" w:rsidP="00864191">
            <w:pPr>
              <w:pStyle w:val="ListParagraph"/>
              <w:spacing w:before="60" w:after="60"/>
              <w:ind w:left="360"/>
              <w:jc w:val="both"/>
              <w:rPr>
                <w:rFonts w:ascii="Arial" w:hAnsi="Arial" w:cs="Arial"/>
                <w:i/>
                <w:sz w:val="24"/>
                <w:szCs w:val="24"/>
              </w:rPr>
            </w:pPr>
          </w:p>
        </w:tc>
      </w:tr>
    </w:tbl>
    <w:p w14:paraId="02E3BFE9" w14:textId="77777777" w:rsidR="00C25026" w:rsidRDefault="00C25026">
      <w:pPr>
        <w:jc w:val="both"/>
        <w:rPr>
          <w:rFonts w:ascii="Arial" w:hAnsi="Arial" w:cs="Arial"/>
          <w:b/>
          <w:sz w:val="24"/>
          <w:u w:val="single"/>
        </w:rPr>
      </w:pPr>
    </w:p>
    <w:tbl>
      <w:tblPr>
        <w:tblStyle w:val="TableGrid"/>
        <w:tblW w:w="9445" w:type="dxa"/>
        <w:tblLook w:val="04A0" w:firstRow="1" w:lastRow="0" w:firstColumn="1" w:lastColumn="0" w:noHBand="0" w:noVBand="1"/>
      </w:tblPr>
      <w:tblGrid>
        <w:gridCol w:w="9445"/>
      </w:tblGrid>
      <w:tr w:rsidR="00F8325E" w14:paraId="053FAD9D" w14:textId="77777777" w:rsidTr="00F8325E">
        <w:trPr>
          <w:trHeight w:val="336"/>
        </w:trPr>
        <w:tc>
          <w:tcPr>
            <w:tcW w:w="9445" w:type="dxa"/>
            <w:vMerge w:val="restart"/>
            <w:shd w:val="clear" w:color="auto" w:fill="D9D9D9" w:themeFill="background1" w:themeFillShade="D9"/>
          </w:tcPr>
          <w:p w14:paraId="2C01E47F" w14:textId="77777777" w:rsidR="00963F9B" w:rsidRDefault="00963F9B" w:rsidP="00963F9B">
            <w:pPr>
              <w:spacing w:before="60" w:after="60"/>
              <w:jc w:val="both"/>
              <w:rPr>
                <w:rFonts w:ascii="Arial" w:hAnsi="Arial" w:cs="Arial"/>
                <w:b/>
                <w:sz w:val="24"/>
              </w:rPr>
            </w:pPr>
            <w:r>
              <w:rPr>
                <w:rFonts w:ascii="Arial" w:hAnsi="Arial" w:cs="Arial"/>
                <w:b/>
                <w:sz w:val="24"/>
              </w:rPr>
              <w:t xml:space="preserve">Alignment with Article 8: Scope of support </w:t>
            </w:r>
          </w:p>
          <w:p w14:paraId="0B02CB58" w14:textId="5FA798D4" w:rsidR="00C25026" w:rsidRPr="00FB0EFD" w:rsidRDefault="00963F9B" w:rsidP="00963F9B">
            <w:pPr>
              <w:spacing w:before="60" w:after="60"/>
              <w:jc w:val="both"/>
              <w:rPr>
                <w:rFonts w:ascii="Arial" w:hAnsi="Arial" w:cs="Arial"/>
                <w:b/>
                <w:i/>
                <w:sz w:val="24"/>
              </w:rPr>
            </w:pPr>
            <w:r w:rsidRPr="00FB0EFD">
              <w:rPr>
                <w:rFonts w:ascii="Arial" w:hAnsi="Arial" w:cs="Arial"/>
                <w:b/>
                <w:i/>
                <w:sz w:val="24"/>
              </w:rPr>
              <w:t>“</w:t>
            </w:r>
            <w:r w:rsidRPr="00C061CB">
              <w:rPr>
                <w:i/>
              </w:rPr>
              <w:t>The JTF shall only support activities that are directly linked to its specific objective as set out in Article 2 and which contribute to the implementation of the territorial just transition plans established in accordance with Article 11.</w:t>
            </w:r>
            <w:r w:rsidRPr="00FB0EFD">
              <w:rPr>
                <w:rFonts w:ascii="Arial" w:hAnsi="Arial" w:cs="Arial"/>
                <w:b/>
                <w:i/>
                <w:sz w:val="24"/>
              </w:rPr>
              <w:t>”</w:t>
            </w:r>
          </w:p>
        </w:tc>
      </w:tr>
      <w:tr w:rsidR="00F8325E" w14:paraId="0BC2E418" w14:textId="77777777" w:rsidTr="00F8325E">
        <w:trPr>
          <w:trHeight w:val="396"/>
        </w:trPr>
        <w:tc>
          <w:tcPr>
            <w:tcW w:w="9445" w:type="dxa"/>
            <w:vMerge/>
            <w:shd w:val="clear" w:color="auto" w:fill="D9D9D9" w:themeFill="background1" w:themeFillShade="D9"/>
          </w:tcPr>
          <w:p w14:paraId="76F40DD0" w14:textId="77777777" w:rsidR="00F8325E" w:rsidRDefault="00F8325E">
            <w:pPr>
              <w:spacing w:before="60" w:after="60"/>
              <w:jc w:val="both"/>
              <w:rPr>
                <w:rFonts w:ascii="Arial" w:hAnsi="Arial" w:cs="Arial"/>
                <w:b/>
                <w:sz w:val="24"/>
              </w:rPr>
            </w:pPr>
          </w:p>
        </w:tc>
      </w:tr>
      <w:tr w:rsidR="00F8325E" w14:paraId="4281E382" w14:textId="77777777" w:rsidTr="00F8325E">
        <w:tc>
          <w:tcPr>
            <w:tcW w:w="9445" w:type="dxa"/>
          </w:tcPr>
          <w:p w14:paraId="4EB52630" w14:textId="77777777" w:rsidR="00F8325E" w:rsidRDefault="00F8325E" w:rsidP="004034DF">
            <w:pPr>
              <w:spacing w:before="60" w:after="60"/>
              <w:jc w:val="both"/>
              <w:rPr>
                <w:rFonts w:ascii="Arial" w:hAnsi="Arial" w:cs="Arial"/>
                <w:sz w:val="24"/>
                <w:u w:val="single"/>
              </w:rPr>
            </w:pPr>
            <w:r>
              <w:rPr>
                <w:rFonts w:ascii="Arial" w:hAnsi="Arial" w:cs="Arial"/>
                <w:sz w:val="24"/>
                <w:u w:val="single"/>
              </w:rPr>
              <w:t xml:space="preserve">Project correspondence to </w:t>
            </w:r>
            <w:r w:rsidRPr="004034DF">
              <w:rPr>
                <w:rFonts w:ascii="Arial" w:hAnsi="Arial" w:cs="Arial"/>
                <w:sz w:val="24"/>
                <w:u w:val="single"/>
              </w:rPr>
              <w:t xml:space="preserve">the </w:t>
            </w:r>
            <w:r>
              <w:rPr>
                <w:rFonts w:ascii="Arial" w:hAnsi="Arial" w:cs="Arial"/>
                <w:sz w:val="24"/>
                <w:u w:val="single"/>
              </w:rPr>
              <w:t>eligible activities</w:t>
            </w:r>
            <w:r w:rsidRPr="004034DF">
              <w:rPr>
                <w:rFonts w:ascii="Arial" w:hAnsi="Arial" w:cs="Arial"/>
                <w:sz w:val="24"/>
                <w:u w:val="single"/>
              </w:rPr>
              <w:t>:</w:t>
            </w:r>
          </w:p>
          <w:p w14:paraId="1686E57E" w14:textId="77777777" w:rsidR="00F8325E" w:rsidRPr="00661CA4" w:rsidRDefault="00E3394E" w:rsidP="00661CA4">
            <w:pPr>
              <w:spacing w:before="60" w:after="60"/>
              <w:jc w:val="both"/>
              <w:rPr>
                <w:rFonts w:ascii="Arial" w:hAnsi="Arial" w:cs="Arial"/>
                <w:sz w:val="24"/>
              </w:rPr>
            </w:pPr>
            <w:sdt>
              <w:sdtPr>
                <w:rPr>
                  <w:rFonts w:ascii="MS Gothic" w:eastAsia="MS Gothic" w:hAnsi="MS Gothic" w:cs="Arial"/>
                  <w:b/>
                  <w:sz w:val="24"/>
                  <w:lang w:val="en-US"/>
                </w:rPr>
                <w:id w:val="-1988773001"/>
                <w14:checkbox>
                  <w14:checked w14:val="0"/>
                  <w14:checkedState w14:val="2612" w14:font="MS Gothic"/>
                  <w14:uncheckedState w14:val="2610" w14:font="MS Gothic"/>
                </w14:checkbox>
              </w:sdtPr>
              <w:sdtEndPr/>
              <w:sdtContent>
                <w:r w:rsidR="00F8325E">
                  <w:rPr>
                    <w:rFonts w:ascii="MS Gothic" w:eastAsia="MS Gothic" w:hAnsi="MS Gothic" w:cs="Arial" w:hint="eastAsia"/>
                    <w:b/>
                    <w:sz w:val="24"/>
                    <w:lang w:val="en-US"/>
                  </w:rPr>
                  <w:t>☐</w:t>
                </w:r>
              </w:sdtContent>
            </w:sdt>
            <w:r w:rsidR="00F8325E" w:rsidRPr="00661CA4">
              <w:rPr>
                <w:rFonts w:ascii="Arial" w:hAnsi="Arial" w:cs="Arial"/>
                <w:sz w:val="24"/>
              </w:rPr>
              <w:t xml:space="preserve"> productive investments in SMEs, including microenterprises and start-ups, leading to economic diversification, modernisation and reconversion;</w:t>
            </w:r>
          </w:p>
          <w:p w14:paraId="501ED562" w14:textId="1BE10C8A" w:rsidR="00F8325E" w:rsidRPr="00661CA4" w:rsidRDefault="00E3394E" w:rsidP="00661CA4">
            <w:pPr>
              <w:spacing w:before="60" w:after="60"/>
              <w:ind w:left="-14"/>
              <w:jc w:val="both"/>
              <w:rPr>
                <w:rFonts w:ascii="Arial" w:hAnsi="Arial" w:cs="Arial"/>
                <w:sz w:val="24"/>
              </w:rPr>
            </w:pPr>
            <w:sdt>
              <w:sdtPr>
                <w:rPr>
                  <w:rFonts w:ascii="MS Gothic" w:eastAsia="MS Gothic" w:hAnsi="MS Gothic" w:cs="Arial"/>
                  <w:b/>
                  <w:sz w:val="24"/>
                  <w:lang w:val="en-US"/>
                </w:rPr>
                <w:id w:val="-2124835636"/>
                <w14:checkbox>
                  <w14:checked w14:val="0"/>
                  <w14:checkedState w14:val="2612" w14:font="MS Gothic"/>
                  <w14:uncheckedState w14:val="2610" w14:font="MS Gothic"/>
                </w14:checkbox>
              </w:sdtPr>
              <w:sdtEndPr/>
              <w:sdtContent>
                <w:r w:rsidR="00C25026">
                  <w:rPr>
                    <w:rFonts w:ascii="MS Gothic" w:eastAsia="MS Gothic" w:hAnsi="MS Gothic" w:cs="Arial" w:hint="eastAsia"/>
                    <w:b/>
                    <w:sz w:val="24"/>
                    <w:lang w:val="en-US"/>
                  </w:rPr>
                  <w:t>☐</w:t>
                </w:r>
              </w:sdtContent>
            </w:sdt>
            <w:r w:rsidR="00F8325E" w:rsidRPr="00661CA4">
              <w:rPr>
                <w:rFonts w:ascii="Arial" w:hAnsi="Arial" w:cs="Arial"/>
                <w:sz w:val="24"/>
              </w:rPr>
              <w:t xml:space="preserve"> investments in the creation of new firms, including through business incubators and consulting services, leading to job creation;</w:t>
            </w:r>
          </w:p>
          <w:p w14:paraId="49ECFCCC" w14:textId="06414D4C" w:rsidR="00F8325E" w:rsidRPr="00661CA4" w:rsidRDefault="00E3394E" w:rsidP="00661CA4">
            <w:pPr>
              <w:spacing w:before="60" w:after="60"/>
              <w:ind w:left="-14"/>
              <w:jc w:val="both"/>
              <w:rPr>
                <w:rFonts w:ascii="Arial" w:hAnsi="Arial" w:cs="Arial"/>
                <w:sz w:val="24"/>
              </w:rPr>
            </w:pPr>
            <w:sdt>
              <w:sdtPr>
                <w:rPr>
                  <w:rFonts w:ascii="MS Gothic" w:eastAsia="MS Gothic" w:hAnsi="MS Gothic" w:cs="Arial"/>
                  <w:b/>
                  <w:sz w:val="24"/>
                  <w:lang w:val="en-US"/>
                </w:rPr>
                <w:id w:val="-1052928369"/>
                <w14:checkbox>
                  <w14:checked w14:val="1"/>
                  <w14:checkedState w14:val="2612" w14:font="MS Gothic"/>
                  <w14:uncheckedState w14:val="2610" w14:font="MS Gothic"/>
                </w14:checkbox>
              </w:sdtPr>
              <w:sdtEndPr/>
              <w:sdtContent>
                <w:r w:rsidR="00E77F9F">
                  <w:rPr>
                    <w:rFonts w:ascii="MS Gothic" w:eastAsia="MS Gothic" w:hAnsi="MS Gothic" w:cs="Arial" w:hint="eastAsia"/>
                    <w:b/>
                    <w:sz w:val="24"/>
                    <w:lang w:val="en-US"/>
                  </w:rPr>
                  <w:t>☒</w:t>
                </w:r>
              </w:sdtContent>
            </w:sdt>
            <w:r w:rsidR="00F8325E" w:rsidRPr="00661CA4">
              <w:rPr>
                <w:rFonts w:ascii="Arial" w:hAnsi="Arial" w:cs="Arial"/>
                <w:sz w:val="24"/>
              </w:rPr>
              <w:t xml:space="preserve"> investments in research and innovation activities, including by universities and public research institutions, and fostering the transfer of advanced technologies;</w:t>
            </w:r>
          </w:p>
          <w:p w14:paraId="23AB030A" w14:textId="77777777" w:rsidR="00F8325E" w:rsidRPr="00661CA4" w:rsidRDefault="00E3394E" w:rsidP="00661CA4">
            <w:pPr>
              <w:spacing w:before="60" w:after="60"/>
              <w:ind w:left="-14"/>
              <w:jc w:val="both"/>
              <w:rPr>
                <w:rFonts w:ascii="Arial" w:hAnsi="Arial" w:cs="Arial"/>
                <w:sz w:val="24"/>
              </w:rPr>
            </w:pPr>
            <w:sdt>
              <w:sdtPr>
                <w:rPr>
                  <w:rFonts w:ascii="MS Gothic" w:eastAsia="MS Gothic" w:hAnsi="MS Gothic" w:cs="Arial"/>
                  <w:b/>
                  <w:sz w:val="24"/>
                  <w:lang w:val="en-US"/>
                </w:rPr>
                <w:id w:val="1170597707"/>
                <w14:checkbox>
                  <w14:checked w14:val="0"/>
                  <w14:checkedState w14:val="2612" w14:font="MS Gothic"/>
                  <w14:uncheckedState w14:val="2610" w14:font="MS Gothic"/>
                </w14:checkbox>
              </w:sdtPr>
              <w:sdtEndPr/>
              <w:sdtContent>
                <w:r w:rsidR="00F8325E" w:rsidRPr="00661CA4">
                  <w:rPr>
                    <w:rFonts w:ascii="MS Gothic" w:eastAsia="MS Gothic" w:hAnsi="MS Gothic" w:cs="Arial" w:hint="eastAsia"/>
                    <w:b/>
                    <w:sz w:val="24"/>
                    <w:lang w:val="en-US"/>
                  </w:rPr>
                  <w:t>☐</w:t>
                </w:r>
              </w:sdtContent>
            </w:sdt>
            <w:r w:rsidR="00F8325E" w:rsidRPr="00661CA4">
              <w:rPr>
                <w:rFonts w:ascii="Arial" w:hAnsi="Arial" w:cs="Arial"/>
                <w:sz w:val="24"/>
              </w:rPr>
              <w:t xml:space="preserve"> investments in the deployment of technology as well as in systems and infrastructures for affordable clean energy, including energy storage technologies, and in greenhouse gas emission reduction;</w:t>
            </w:r>
          </w:p>
          <w:p w14:paraId="72A063CE" w14:textId="77777777" w:rsidR="00F8325E" w:rsidRPr="00661CA4" w:rsidRDefault="00E3394E" w:rsidP="00661CA4">
            <w:pPr>
              <w:spacing w:before="60" w:after="60"/>
              <w:ind w:left="-14"/>
              <w:jc w:val="both"/>
              <w:rPr>
                <w:rFonts w:ascii="Arial" w:hAnsi="Arial" w:cs="Arial"/>
                <w:sz w:val="24"/>
              </w:rPr>
            </w:pPr>
            <w:sdt>
              <w:sdtPr>
                <w:rPr>
                  <w:rFonts w:ascii="MS Gothic" w:eastAsia="MS Gothic" w:hAnsi="MS Gothic" w:cs="Arial"/>
                  <w:b/>
                  <w:sz w:val="24"/>
                  <w:lang w:val="en-US"/>
                </w:rPr>
                <w:id w:val="-1729674262"/>
                <w14:checkbox>
                  <w14:checked w14:val="0"/>
                  <w14:checkedState w14:val="2612" w14:font="MS Gothic"/>
                  <w14:uncheckedState w14:val="2610" w14:font="MS Gothic"/>
                </w14:checkbox>
              </w:sdtPr>
              <w:sdtEndPr/>
              <w:sdtContent>
                <w:r w:rsidR="00F8325E" w:rsidRPr="00661CA4">
                  <w:rPr>
                    <w:rFonts w:ascii="MS Gothic" w:eastAsia="MS Gothic" w:hAnsi="MS Gothic" w:cs="Arial" w:hint="eastAsia"/>
                    <w:b/>
                    <w:sz w:val="24"/>
                    <w:lang w:val="en-US"/>
                  </w:rPr>
                  <w:t>☐</w:t>
                </w:r>
              </w:sdtContent>
            </w:sdt>
            <w:r w:rsidR="00F8325E" w:rsidRPr="00661CA4">
              <w:rPr>
                <w:rFonts w:ascii="Arial" w:hAnsi="Arial" w:cs="Arial"/>
                <w:sz w:val="24"/>
              </w:rPr>
              <w:t xml:space="preserve"> investments in renewable energy in accordance with the Renewable Energy Directive (EU) 2018/2001 , including the sustainability criteria set out therein, and in energy efficiency, including for the purposes of reducing energy poverty;</w:t>
            </w:r>
          </w:p>
          <w:p w14:paraId="0E21D97D" w14:textId="77777777" w:rsidR="00F8325E" w:rsidRPr="00661CA4" w:rsidRDefault="00E3394E" w:rsidP="00661CA4">
            <w:pPr>
              <w:spacing w:before="60" w:after="60"/>
              <w:ind w:left="-14"/>
              <w:jc w:val="both"/>
              <w:rPr>
                <w:rFonts w:ascii="Arial" w:hAnsi="Arial" w:cs="Arial"/>
                <w:sz w:val="24"/>
              </w:rPr>
            </w:pPr>
            <w:sdt>
              <w:sdtPr>
                <w:rPr>
                  <w:rFonts w:ascii="MS Gothic" w:eastAsia="MS Gothic" w:hAnsi="MS Gothic" w:cs="Arial"/>
                  <w:b/>
                  <w:sz w:val="24"/>
                  <w:lang w:val="en-US"/>
                </w:rPr>
                <w:id w:val="-1293738235"/>
                <w14:checkbox>
                  <w14:checked w14:val="0"/>
                  <w14:checkedState w14:val="2612" w14:font="MS Gothic"/>
                  <w14:uncheckedState w14:val="2610" w14:font="MS Gothic"/>
                </w14:checkbox>
              </w:sdtPr>
              <w:sdtEndPr/>
              <w:sdtContent>
                <w:r w:rsidR="00F8325E" w:rsidRPr="00661CA4">
                  <w:rPr>
                    <w:rFonts w:ascii="MS Gothic" w:eastAsia="MS Gothic" w:hAnsi="MS Gothic" w:cs="Arial" w:hint="eastAsia"/>
                    <w:b/>
                    <w:sz w:val="24"/>
                    <w:lang w:val="en-US"/>
                  </w:rPr>
                  <w:t>☐</w:t>
                </w:r>
              </w:sdtContent>
            </w:sdt>
            <w:r w:rsidR="00F8325E" w:rsidRPr="00661CA4">
              <w:rPr>
                <w:rFonts w:ascii="Arial" w:hAnsi="Arial" w:cs="Arial"/>
                <w:sz w:val="24"/>
              </w:rPr>
              <w:t xml:space="preserve"> investments in smart and sustainable local mobility, including decarbonisation of the local transport sector and its infrastructure;</w:t>
            </w:r>
          </w:p>
          <w:p w14:paraId="43A1496E" w14:textId="77777777" w:rsidR="00F8325E" w:rsidRPr="00661CA4" w:rsidRDefault="00E3394E" w:rsidP="00661CA4">
            <w:pPr>
              <w:spacing w:before="60" w:after="60"/>
              <w:ind w:left="-14"/>
              <w:jc w:val="both"/>
              <w:rPr>
                <w:rFonts w:ascii="Arial" w:hAnsi="Arial" w:cs="Arial"/>
                <w:sz w:val="24"/>
              </w:rPr>
            </w:pPr>
            <w:sdt>
              <w:sdtPr>
                <w:rPr>
                  <w:rFonts w:ascii="MS Gothic" w:eastAsia="MS Gothic" w:hAnsi="MS Gothic" w:cs="Arial"/>
                  <w:b/>
                  <w:sz w:val="24"/>
                  <w:lang w:val="en-US"/>
                </w:rPr>
                <w:id w:val="1454826516"/>
                <w14:checkbox>
                  <w14:checked w14:val="0"/>
                  <w14:checkedState w14:val="2612" w14:font="MS Gothic"/>
                  <w14:uncheckedState w14:val="2610" w14:font="MS Gothic"/>
                </w14:checkbox>
              </w:sdtPr>
              <w:sdtEndPr/>
              <w:sdtContent>
                <w:r w:rsidR="00F8325E" w:rsidRPr="00661CA4">
                  <w:rPr>
                    <w:rFonts w:ascii="MS Gothic" w:eastAsia="MS Gothic" w:hAnsi="MS Gothic" w:cs="Arial" w:hint="eastAsia"/>
                    <w:b/>
                    <w:sz w:val="24"/>
                    <w:lang w:val="en-US"/>
                  </w:rPr>
                  <w:t>☐</w:t>
                </w:r>
              </w:sdtContent>
            </w:sdt>
            <w:r w:rsidR="00F8325E" w:rsidRPr="00661CA4">
              <w:rPr>
                <w:rFonts w:ascii="Arial" w:hAnsi="Arial" w:cs="Arial"/>
                <w:sz w:val="24"/>
              </w:rPr>
              <w:t xml:space="preserve"> investments in rehabilitation and upgrade of district heating networks with a view to improving energy efficiency of district heating systems and investments in heat production provided that they are supplied exclusively by renewable energy sources;</w:t>
            </w:r>
          </w:p>
          <w:p w14:paraId="1D8AE392" w14:textId="77777777" w:rsidR="00F8325E" w:rsidRPr="00661CA4" w:rsidRDefault="00E3394E" w:rsidP="00661CA4">
            <w:pPr>
              <w:spacing w:before="60" w:after="60"/>
              <w:ind w:left="-14"/>
              <w:jc w:val="both"/>
              <w:rPr>
                <w:rFonts w:ascii="Arial" w:hAnsi="Arial" w:cs="Arial"/>
                <w:sz w:val="24"/>
              </w:rPr>
            </w:pPr>
            <w:sdt>
              <w:sdtPr>
                <w:rPr>
                  <w:rFonts w:ascii="MS Gothic" w:eastAsia="MS Gothic" w:hAnsi="MS Gothic" w:cs="Arial"/>
                  <w:b/>
                  <w:sz w:val="24"/>
                  <w:lang w:val="en-US"/>
                </w:rPr>
                <w:id w:val="1074936774"/>
                <w14:checkbox>
                  <w14:checked w14:val="0"/>
                  <w14:checkedState w14:val="2612" w14:font="MS Gothic"/>
                  <w14:uncheckedState w14:val="2610" w14:font="MS Gothic"/>
                </w14:checkbox>
              </w:sdtPr>
              <w:sdtEndPr/>
              <w:sdtContent>
                <w:r w:rsidR="00F8325E" w:rsidRPr="00661CA4">
                  <w:rPr>
                    <w:rFonts w:ascii="MS Gothic" w:eastAsia="MS Gothic" w:hAnsi="MS Gothic" w:cs="Arial" w:hint="eastAsia"/>
                    <w:b/>
                    <w:sz w:val="24"/>
                    <w:lang w:val="en-US"/>
                  </w:rPr>
                  <w:t>☐</w:t>
                </w:r>
              </w:sdtContent>
            </w:sdt>
            <w:r w:rsidR="00F8325E" w:rsidRPr="00661CA4">
              <w:rPr>
                <w:rFonts w:ascii="Arial" w:hAnsi="Arial" w:cs="Arial"/>
                <w:sz w:val="24"/>
              </w:rPr>
              <w:t xml:space="preserve"> investments in digitalisation, digital innovation and digital connectivity;</w:t>
            </w:r>
          </w:p>
          <w:p w14:paraId="74490D03" w14:textId="77777777" w:rsidR="00F8325E" w:rsidRPr="00661CA4" w:rsidRDefault="00E3394E" w:rsidP="00661CA4">
            <w:pPr>
              <w:spacing w:before="60" w:after="60"/>
              <w:ind w:left="-14"/>
              <w:jc w:val="both"/>
              <w:rPr>
                <w:rFonts w:ascii="Arial" w:hAnsi="Arial" w:cs="Arial"/>
                <w:sz w:val="24"/>
              </w:rPr>
            </w:pPr>
            <w:sdt>
              <w:sdtPr>
                <w:rPr>
                  <w:rFonts w:ascii="MS Gothic" w:eastAsia="MS Gothic" w:hAnsi="MS Gothic" w:cs="Arial"/>
                  <w:b/>
                  <w:sz w:val="24"/>
                  <w:lang w:val="en-US"/>
                </w:rPr>
                <w:id w:val="1537462759"/>
                <w14:checkbox>
                  <w14:checked w14:val="0"/>
                  <w14:checkedState w14:val="2612" w14:font="MS Gothic"/>
                  <w14:uncheckedState w14:val="2610" w14:font="MS Gothic"/>
                </w14:checkbox>
              </w:sdtPr>
              <w:sdtEndPr/>
              <w:sdtContent>
                <w:r w:rsidR="00F8325E" w:rsidRPr="00661CA4">
                  <w:rPr>
                    <w:rFonts w:ascii="MS Gothic" w:eastAsia="MS Gothic" w:hAnsi="MS Gothic" w:cs="Arial" w:hint="eastAsia"/>
                    <w:b/>
                    <w:sz w:val="24"/>
                    <w:lang w:val="en-US"/>
                  </w:rPr>
                  <w:t>☐</w:t>
                </w:r>
              </w:sdtContent>
            </w:sdt>
            <w:r w:rsidR="00F8325E" w:rsidRPr="00661CA4">
              <w:rPr>
                <w:rFonts w:ascii="Arial" w:hAnsi="Arial" w:cs="Arial"/>
                <w:sz w:val="24"/>
              </w:rPr>
              <w:t xml:space="preserve"> investments in regeneration and decontamination of brownfield sites, land restoration and including where necessary green infrastructure and repurposing projects, taking into account the ‘polluter pays’ principle;</w:t>
            </w:r>
          </w:p>
          <w:p w14:paraId="3185160A" w14:textId="77777777" w:rsidR="00F8325E" w:rsidRPr="00661CA4" w:rsidRDefault="00E3394E" w:rsidP="00661CA4">
            <w:pPr>
              <w:spacing w:before="60" w:after="60"/>
              <w:ind w:left="-14"/>
              <w:jc w:val="both"/>
              <w:rPr>
                <w:rFonts w:ascii="Arial" w:hAnsi="Arial" w:cs="Arial"/>
                <w:sz w:val="24"/>
              </w:rPr>
            </w:pPr>
            <w:sdt>
              <w:sdtPr>
                <w:rPr>
                  <w:rFonts w:ascii="MS Gothic" w:eastAsia="MS Gothic" w:hAnsi="MS Gothic" w:cs="Arial"/>
                  <w:b/>
                  <w:sz w:val="24"/>
                  <w:lang w:val="en-US"/>
                </w:rPr>
                <w:id w:val="-427730966"/>
                <w14:checkbox>
                  <w14:checked w14:val="0"/>
                  <w14:checkedState w14:val="2612" w14:font="MS Gothic"/>
                  <w14:uncheckedState w14:val="2610" w14:font="MS Gothic"/>
                </w14:checkbox>
              </w:sdtPr>
              <w:sdtEndPr/>
              <w:sdtContent>
                <w:r w:rsidR="00F8325E" w:rsidRPr="00661CA4">
                  <w:rPr>
                    <w:rFonts w:ascii="MS Gothic" w:eastAsia="MS Gothic" w:hAnsi="MS Gothic" w:cs="Arial" w:hint="eastAsia"/>
                    <w:b/>
                    <w:sz w:val="24"/>
                    <w:lang w:val="en-US"/>
                  </w:rPr>
                  <w:t>☐</w:t>
                </w:r>
              </w:sdtContent>
            </w:sdt>
            <w:r w:rsidR="00F8325E" w:rsidRPr="00661CA4">
              <w:rPr>
                <w:rFonts w:ascii="Arial" w:hAnsi="Arial" w:cs="Arial"/>
                <w:sz w:val="24"/>
              </w:rPr>
              <w:t xml:space="preserve"> investments in enhancing the circular economy, including through waste prevention, reduction, resource efficiency, reuse, repair and recycling;</w:t>
            </w:r>
          </w:p>
          <w:p w14:paraId="59AB517A" w14:textId="430916F6" w:rsidR="00F8325E" w:rsidRPr="00661CA4" w:rsidRDefault="00E3394E" w:rsidP="00661CA4">
            <w:pPr>
              <w:spacing w:before="60" w:after="60"/>
              <w:ind w:left="-14"/>
              <w:jc w:val="both"/>
              <w:rPr>
                <w:rFonts w:ascii="Arial" w:hAnsi="Arial" w:cs="Arial"/>
                <w:sz w:val="24"/>
              </w:rPr>
            </w:pPr>
            <w:sdt>
              <w:sdtPr>
                <w:rPr>
                  <w:rFonts w:ascii="MS Gothic" w:eastAsia="MS Gothic" w:hAnsi="MS Gothic" w:cs="Arial"/>
                  <w:b/>
                  <w:sz w:val="24"/>
                  <w:lang w:val="en-US"/>
                </w:rPr>
                <w:id w:val="-184525825"/>
                <w14:checkbox>
                  <w14:checked w14:val="1"/>
                  <w14:checkedState w14:val="2612" w14:font="MS Gothic"/>
                  <w14:uncheckedState w14:val="2610" w14:font="MS Gothic"/>
                </w14:checkbox>
              </w:sdtPr>
              <w:sdtEndPr/>
              <w:sdtContent>
                <w:r w:rsidR="00E77F9F">
                  <w:rPr>
                    <w:rFonts w:ascii="MS Gothic" w:eastAsia="MS Gothic" w:hAnsi="MS Gothic" w:cs="Arial" w:hint="eastAsia"/>
                    <w:b/>
                    <w:sz w:val="24"/>
                    <w:lang w:val="en-US"/>
                  </w:rPr>
                  <w:t>☒</w:t>
                </w:r>
              </w:sdtContent>
            </w:sdt>
            <w:r w:rsidR="00F8325E" w:rsidRPr="00661CA4">
              <w:rPr>
                <w:rFonts w:ascii="Arial" w:hAnsi="Arial" w:cs="Arial"/>
                <w:sz w:val="24"/>
              </w:rPr>
              <w:t xml:space="preserve"> upskilling and reskilling of workers and jobseekers;</w:t>
            </w:r>
          </w:p>
          <w:p w14:paraId="1C6198FA" w14:textId="77777777" w:rsidR="00F8325E" w:rsidRPr="00661CA4" w:rsidRDefault="00E3394E" w:rsidP="00661CA4">
            <w:pPr>
              <w:spacing w:before="60" w:after="60"/>
              <w:ind w:left="-14"/>
              <w:jc w:val="both"/>
              <w:rPr>
                <w:rFonts w:ascii="Arial" w:hAnsi="Arial" w:cs="Arial"/>
                <w:sz w:val="24"/>
              </w:rPr>
            </w:pPr>
            <w:sdt>
              <w:sdtPr>
                <w:rPr>
                  <w:rFonts w:ascii="MS Gothic" w:eastAsia="MS Gothic" w:hAnsi="MS Gothic" w:cs="Arial"/>
                  <w:b/>
                  <w:sz w:val="24"/>
                  <w:lang w:val="en-US"/>
                </w:rPr>
                <w:id w:val="-1799133754"/>
                <w14:checkbox>
                  <w14:checked w14:val="0"/>
                  <w14:checkedState w14:val="2612" w14:font="MS Gothic"/>
                  <w14:uncheckedState w14:val="2610" w14:font="MS Gothic"/>
                </w14:checkbox>
              </w:sdtPr>
              <w:sdtEndPr/>
              <w:sdtContent>
                <w:r w:rsidR="00F8325E" w:rsidRPr="00661CA4">
                  <w:rPr>
                    <w:rFonts w:ascii="MS Gothic" w:eastAsia="MS Gothic" w:hAnsi="MS Gothic" w:cs="Arial" w:hint="eastAsia"/>
                    <w:b/>
                    <w:sz w:val="24"/>
                    <w:lang w:val="en-US"/>
                  </w:rPr>
                  <w:t>☐</w:t>
                </w:r>
              </w:sdtContent>
            </w:sdt>
            <w:r w:rsidR="00F8325E" w:rsidRPr="00661CA4">
              <w:rPr>
                <w:rFonts w:ascii="Arial" w:hAnsi="Arial" w:cs="Arial"/>
                <w:sz w:val="24"/>
              </w:rPr>
              <w:t xml:space="preserve"> job-search assistance to jobseekers;</w:t>
            </w:r>
          </w:p>
          <w:p w14:paraId="6736789F" w14:textId="77777777" w:rsidR="00F8325E" w:rsidRPr="00661CA4" w:rsidRDefault="00E3394E" w:rsidP="00661CA4">
            <w:pPr>
              <w:spacing w:before="60" w:after="60"/>
              <w:ind w:left="-14"/>
              <w:jc w:val="both"/>
              <w:rPr>
                <w:rFonts w:ascii="Arial" w:hAnsi="Arial" w:cs="Arial"/>
                <w:sz w:val="24"/>
              </w:rPr>
            </w:pPr>
            <w:sdt>
              <w:sdtPr>
                <w:rPr>
                  <w:rFonts w:ascii="MS Gothic" w:eastAsia="MS Gothic" w:hAnsi="MS Gothic" w:cs="Arial"/>
                  <w:b/>
                  <w:sz w:val="24"/>
                  <w:lang w:val="en-US"/>
                </w:rPr>
                <w:id w:val="-1047759733"/>
                <w14:checkbox>
                  <w14:checked w14:val="0"/>
                  <w14:checkedState w14:val="2612" w14:font="MS Gothic"/>
                  <w14:uncheckedState w14:val="2610" w14:font="MS Gothic"/>
                </w14:checkbox>
              </w:sdtPr>
              <w:sdtEndPr/>
              <w:sdtContent>
                <w:r w:rsidR="00F8325E" w:rsidRPr="00661CA4">
                  <w:rPr>
                    <w:rFonts w:ascii="MS Gothic" w:eastAsia="MS Gothic" w:hAnsi="MS Gothic" w:cs="Arial" w:hint="eastAsia"/>
                    <w:b/>
                    <w:sz w:val="24"/>
                    <w:lang w:val="en-US"/>
                  </w:rPr>
                  <w:t>☐</w:t>
                </w:r>
              </w:sdtContent>
            </w:sdt>
            <w:r w:rsidR="00F8325E" w:rsidRPr="00661CA4">
              <w:rPr>
                <w:rFonts w:ascii="Arial" w:hAnsi="Arial" w:cs="Arial"/>
                <w:sz w:val="24"/>
              </w:rPr>
              <w:t xml:space="preserve"> active inclusion of jobseekers;</w:t>
            </w:r>
          </w:p>
          <w:p w14:paraId="2FBE68BE" w14:textId="77777777" w:rsidR="00F8325E" w:rsidRPr="00661CA4" w:rsidRDefault="00E3394E" w:rsidP="00661CA4">
            <w:pPr>
              <w:spacing w:before="60" w:after="60"/>
              <w:ind w:left="-14"/>
              <w:jc w:val="both"/>
              <w:rPr>
                <w:rFonts w:ascii="Arial" w:hAnsi="Arial" w:cs="Arial"/>
                <w:sz w:val="24"/>
              </w:rPr>
            </w:pPr>
            <w:sdt>
              <w:sdtPr>
                <w:rPr>
                  <w:rFonts w:ascii="MS Gothic" w:eastAsia="MS Gothic" w:hAnsi="MS Gothic" w:cs="Arial"/>
                  <w:b/>
                  <w:sz w:val="24"/>
                  <w:lang w:val="en-US"/>
                </w:rPr>
                <w:id w:val="1320848694"/>
                <w14:checkbox>
                  <w14:checked w14:val="0"/>
                  <w14:checkedState w14:val="2612" w14:font="MS Gothic"/>
                  <w14:uncheckedState w14:val="2610" w14:font="MS Gothic"/>
                </w14:checkbox>
              </w:sdtPr>
              <w:sdtEndPr/>
              <w:sdtContent>
                <w:r w:rsidR="00F8325E" w:rsidRPr="00661CA4">
                  <w:rPr>
                    <w:rFonts w:ascii="MS Gothic" w:eastAsia="MS Gothic" w:hAnsi="MS Gothic" w:cs="Arial" w:hint="eastAsia"/>
                    <w:b/>
                    <w:sz w:val="24"/>
                    <w:lang w:val="en-US"/>
                  </w:rPr>
                  <w:t>☐</w:t>
                </w:r>
              </w:sdtContent>
            </w:sdt>
            <w:r w:rsidR="00F8325E" w:rsidRPr="00661CA4">
              <w:rPr>
                <w:rFonts w:ascii="Arial" w:hAnsi="Arial" w:cs="Arial"/>
                <w:sz w:val="24"/>
              </w:rPr>
              <w:t xml:space="preserve"> technical assistance;</w:t>
            </w:r>
          </w:p>
          <w:p w14:paraId="547E9135" w14:textId="368C7E10" w:rsidR="00F8325E" w:rsidRDefault="00E3394E" w:rsidP="00661CA4">
            <w:pPr>
              <w:spacing w:before="60" w:after="60"/>
              <w:ind w:left="-14"/>
              <w:jc w:val="both"/>
              <w:rPr>
                <w:rFonts w:ascii="Arial" w:hAnsi="Arial" w:cs="Arial"/>
                <w:sz w:val="24"/>
              </w:rPr>
            </w:pPr>
            <w:sdt>
              <w:sdtPr>
                <w:rPr>
                  <w:rFonts w:ascii="MS Gothic" w:eastAsia="MS Gothic" w:hAnsi="MS Gothic" w:cs="Arial"/>
                  <w:b/>
                  <w:sz w:val="24"/>
                  <w:lang w:val="en-US"/>
                </w:rPr>
                <w:id w:val="-1130467589"/>
                <w14:checkbox>
                  <w14:checked w14:val="0"/>
                  <w14:checkedState w14:val="2612" w14:font="MS Gothic"/>
                  <w14:uncheckedState w14:val="2610" w14:font="MS Gothic"/>
                </w14:checkbox>
              </w:sdtPr>
              <w:sdtEndPr/>
              <w:sdtContent>
                <w:r w:rsidR="00F8325E" w:rsidRPr="00661CA4">
                  <w:rPr>
                    <w:rFonts w:ascii="MS Gothic" w:eastAsia="MS Gothic" w:hAnsi="MS Gothic" w:cs="Arial" w:hint="eastAsia"/>
                    <w:b/>
                    <w:sz w:val="24"/>
                    <w:lang w:val="en-US"/>
                  </w:rPr>
                  <w:t>☐</w:t>
                </w:r>
              </w:sdtContent>
            </w:sdt>
            <w:r w:rsidR="00F8325E" w:rsidRPr="00661CA4">
              <w:rPr>
                <w:rFonts w:ascii="Arial" w:hAnsi="Arial" w:cs="Arial"/>
                <w:sz w:val="24"/>
              </w:rPr>
              <w:t xml:space="preserve"> other activities in the areas of education and social inclusion including, where duly justified, infrastructure for the purposes of training centres, child and elderly care facilities as indicated in the territorial just transition plans in accordance with Article 11 of the Just Transition Fund regulation.</w:t>
            </w:r>
          </w:p>
          <w:p w14:paraId="46CCFA0A" w14:textId="4A1E89B4" w:rsidR="0029017D" w:rsidRDefault="0029017D" w:rsidP="00661CA4">
            <w:pPr>
              <w:spacing w:before="60" w:after="60"/>
              <w:ind w:left="-14"/>
              <w:jc w:val="both"/>
              <w:rPr>
                <w:rFonts w:ascii="Arial" w:hAnsi="Arial" w:cs="Arial"/>
                <w:sz w:val="24"/>
              </w:rPr>
            </w:pPr>
          </w:p>
          <w:p w14:paraId="36C519F7" w14:textId="58F10C2D" w:rsidR="00C25026" w:rsidRPr="00661CA4" w:rsidRDefault="00C25026" w:rsidP="00661CA4">
            <w:pPr>
              <w:spacing w:before="60" w:after="60"/>
              <w:ind w:left="-14"/>
              <w:jc w:val="both"/>
              <w:rPr>
                <w:rFonts w:ascii="Arial" w:hAnsi="Arial" w:cs="Arial"/>
                <w:sz w:val="24"/>
              </w:rPr>
            </w:pPr>
          </w:p>
        </w:tc>
      </w:tr>
    </w:tbl>
    <w:p w14:paraId="0C01D6B5" w14:textId="77777777" w:rsidR="007F0941" w:rsidRDefault="007F0941">
      <w:pPr>
        <w:jc w:val="both"/>
        <w:rPr>
          <w:rFonts w:ascii="Arial" w:hAnsi="Arial" w:cs="Arial"/>
        </w:rPr>
      </w:pPr>
    </w:p>
    <w:tbl>
      <w:tblPr>
        <w:tblStyle w:val="TableGrid"/>
        <w:tblW w:w="9445" w:type="dxa"/>
        <w:tblLook w:val="04A0" w:firstRow="1" w:lastRow="0" w:firstColumn="1" w:lastColumn="0" w:noHBand="0" w:noVBand="1"/>
      </w:tblPr>
      <w:tblGrid>
        <w:gridCol w:w="9445"/>
      </w:tblGrid>
      <w:tr w:rsidR="007F0941" w14:paraId="57A40FB2" w14:textId="77777777" w:rsidTr="00661CA4">
        <w:tc>
          <w:tcPr>
            <w:tcW w:w="9445" w:type="dxa"/>
            <w:shd w:val="clear" w:color="auto" w:fill="D9D9D9" w:themeFill="background1" w:themeFillShade="D9"/>
          </w:tcPr>
          <w:p w14:paraId="71BCEFCC" w14:textId="77777777" w:rsidR="003852DD" w:rsidRDefault="003852DD" w:rsidP="003852DD">
            <w:pPr>
              <w:jc w:val="both"/>
              <w:rPr>
                <w:rFonts w:ascii="Arial" w:hAnsi="Arial" w:cs="Arial"/>
                <w:b/>
                <w:sz w:val="24"/>
              </w:rPr>
            </w:pPr>
            <w:r>
              <w:rPr>
                <w:rFonts w:ascii="Arial" w:hAnsi="Arial" w:cs="Arial"/>
                <w:b/>
                <w:sz w:val="24"/>
              </w:rPr>
              <w:t>Alignment with requirements of Articles 8 and 11 for non-SME productive investments</w:t>
            </w:r>
          </w:p>
          <w:p w14:paraId="78486456" w14:textId="77777777" w:rsidR="003852DD" w:rsidRDefault="003852DD" w:rsidP="003852DD">
            <w:pPr>
              <w:jc w:val="both"/>
              <w:rPr>
                <w:rFonts w:ascii="Arial" w:hAnsi="Arial" w:cs="Arial"/>
                <w:b/>
                <w:sz w:val="24"/>
              </w:rPr>
            </w:pPr>
          </w:p>
          <w:p w14:paraId="0C3E2192" w14:textId="77777777" w:rsidR="003852DD" w:rsidRPr="00C061CB" w:rsidRDefault="003852DD" w:rsidP="003852DD">
            <w:pPr>
              <w:jc w:val="both"/>
              <w:rPr>
                <w:i/>
                <w:lang w:val="en-US"/>
              </w:rPr>
            </w:pPr>
            <w:r>
              <w:rPr>
                <w:rFonts w:ascii="Arial" w:hAnsi="Arial" w:cs="Arial"/>
                <w:b/>
                <w:i/>
                <w:sz w:val="24"/>
              </w:rPr>
              <w:t xml:space="preserve">Article 8 </w:t>
            </w:r>
            <w:r w:rsidRPr="00FB0EFD">
              <w:rPr>
                <w:rFonts w:ascii="Arial" w:hAnsi="Arial" w:cs="Arial"/>
                <w:b/>
                <w:i/>
                <w:sz w:val="24"/>
              </w:rPr>
              <w:t>“</w:t>
            </w:r>
            <w:r w:rsidRPr="00C061CB">
              <w:rPr>
                <w:i/>
                <w:lang w:val="en-US"/>
              </w:rPr>
              <w:t>the JTF may support, in areas designated as assisted areas for the purposes of points (a) and (c) of Article 107(3) TFEU, productive investments in enterprises other than SMEs, provided that such investments have been approved as part of the territorial just transition plan based on the information required under point (h) of Ar</w:t>
            </w:r>
            <w:r>
              <w:rPr>
                <w:i/>
                <w:lang w:val="en-US"/>
              </w:rPr>
              <w:t>ticle 11(2) of this Regulation</w:t>
            </w:r>
            <w:r w:rsidRPr="00FB0EFD">
              <w:rPr>
                <w:i/>
              </w:rPr>
              <w:t xml:space="preserve">. </w:t>
            </w:r>
            <w:r w:rsidRPr="00C061CB">
              <w:rPr>
                <w:i/>
                <w:lang w:val="en-US"/>
              </w:rPr>
              <w:t>Such investments shall only be eligible where they are necessary for the implementation of the territorial just transition plan, where they contribute to the transition to a climate-neutral economy of the Union by 2050 and to achieving related environmental targets, where their support is necessary for job creation in the identified territory, and where they do not lead to relocation as defined in point (27) of Article 2 of Regulation (EU) 2021/1060.</w:t>
            </w:r>
            <w:r w:rsidRPr="00FB0EFD">
              <w:rPr>
                <w:i/>
              </w:rPr>
              <w:t>.</w:t>
            </w:r>
            <w:r w:rsidRPr="00FB0EFD">
              <w:rPr>
                <w:rFonts w:ascii="Arial" w:hAnsi="Arial" w:cs="Arial"/>
                <w:b/>
                <w:i/>
                <w:sz w:val="24"/>
              </w:rPr>
              <w:t>”</w:t>
            </w:r>
          </w:p>
          <w:p w14:paraId="469A87ED" w14:textId="77777777" w:rsidR="003852DD" w:rsidRDefault="003852DD" w:rsidP="003852DD">
            <w:pPr>
              <w:jc w:val="both"/>
              <w:rPr>
                <w:rFonts w:ascii="Arial" w:hAnsi="Arial" w:cs="Arial"/>
                <w:b/>
                <w:i/>
                <w:sz w:val="24"/>
              </w:rPr>
            </w:pPr>
          </w:p>
          <w:p w14:paraId="315D572E" w14:textId="77777777" w:rsidR="003852DD" w:rsidRPr="00C25026" w:rsidRDefault="003852DD" w:rsidP="003852DD">
            <w:pPr>
              <w:jc w:val="both"/>
              <w:rPr>
                <w:rFonts w:ascii="Arial" w:hAnsi="Arial" w:cs="Arial"/>
                <w:b/>
                <w:sz w:val="24"/>
              </w:rPr>
            </w:pPr>
            <w:r>
              <w:rPr>
                <w:rFonts w:ascii="Arial" w:hAnsi="Arial" w:cs="Arial"/>
                <w:b/>
                <w:i/>
                <w:sz w:val="24"/>
              </w:rPr>
              <w:t xml:space="preserve">Article 11(2)(h) </w:t>
            </w:r>
            <w:r w:rsidRPr="00C25026">
              <w:rPr>
                <w:rFonts w:ascii="Arial" w:hAnsi="Arial" w:cs="Arial"/>
                <w:b/>
                <w:i/>
                <w:sz w:val="24"/>
              </w:rPr>
              <w:t>“</w:t>
            </w:r>
            <w:r w:rsidRPr="00FB0EFD">
              <w:rPr>
                <w:i/>
              </w:rPr>
              <w:t>where support is provided to productive investments to enterprises other than SMEs, an exhaustive list of such operations and enterprises and a justification of the necessity of such support through a gap analysis demonstrating that the expected job losses would exceed the expected number of jobs created in the absence of the investment;</w:t>
            </w:r>
            <w:r w:rsidRPr="00C25026">
              <w:rPr>
                <w:rFonts w:ascii="Arial" w:hAnsi="Arial" w:cs="Arial"/>
                <w:b/>
                <w:i/>
                <w:sz w:val="24"/>
              </w:rPr>
              <w:t>”</w:t>
            </w:r>
          </w:p>
          <w:p w14:paraId="3D96A77C" w14:textId="63BB90F5" w:rsidR="007F0941" w:rsidRDefault="00C25026" w:rsidP="00CA5EF6">
            <w:pPr>
              <w:jc w:val="both"/>
              <w:rPr>
                <w:rFonts w:ascii="Arial" w:hAnsi="Arial" w:cs="Arial"/>
              </w:rPr>
            </w:pPr>
            <w:r>
              <w:rPr>
                <w:rFonts w:ascii="Arial" w:hAnsi="Arial" w:cs="Arial"/>
                <w:b/>
                <w:sz w:val="24"/>
              </w:rPr>
              <w:t xml:space="preserve"> </w:t>
            </w:r>
          </w:p>
        </w:tc>
      </w:tr>
      <w:tr w:rsidR="007F0941" w14:paraId="24255BD7" w14:textId="77777777" w:rsidTr="00661CA4">
        <w:tc>
          <w:tcPr>
            <w:tcW w:w="9445" w:type="dxa"/>
          </w:tcPr>
          <w:p w14:paraId="4BFAFCB9" w14:textId="77777777" w:rsidR="007F0941" w:rsidRDefault="007F0941">
            <w:pPr>
              <w:jc w:val="both"/>
              <w:rPr>
                <w:rFonts w:ascii="Arial" w:hAnsi="Arial" w:cs="Arial"/>
              </w:rPr>
            </w:pPr>
          </w:p>
          <w:p w14:paraId="76BE35F9" w14:textId="53E3464A" w:rsidR="007F0941" w:rsidRDefault="00287026">
            <w:pPr>
              <w:jc w:val="both"/>
              <w:rPr>
                <w:rFonts w:ascii="Arial" w:hAnsi="Arial" w:cs="Arial"/>
              </w:rPr>
            </w:pPr>
            <w:r>
              <w:rPr>
                <w:rFonts w:ascii="Arial" w:hAnsi="Arial" w:cs="Arial"/>
              </w:rPr>
              <w:t>N/A. The applicant is not an SME.</w:t>
            </w:r>
          </w:p>
          <w:p w14:paraId="7A297974" w14:textId="77777777" w:rsidR="007F0941" w:rsidRDefault="007F0941">
            <w:pPr>
              <w:jc w:val="both"/>
              <w:rPr>
                <w:rFonts w:ascii="Arial" w:hAnsi="Arial" w:cs="Arial"/>
              </w:rPr>
            </w:pPr>
          </w:p>
        </w:tc>
      </w:tr>
    </w:tbl>
    <w:p w14:paraId="484114F5" w14:textId="77777777" w:rsidR="007F0941" w:rsidRDefault="007F0941">
      <w:pPr>
        <w:jc w:val="both"/>
        <w:rPr>
          <w:rFonts w:ascii="Arial" w:hAnsi="Arial" w:cs="Arial"/>
        </w:rPr>
      </w:pPr>
    </w:p>
    <w:p w14:paraId="5C5EDA8D" w14:textId="77777777" w:rsidR="007F0941" w:rsidRDefault="007F0941">
      <w:pPr>
        <w:jc w:val="both"/>
      </w:pPr>
    </w:p>
    <w:tbl>
      <w:tblPr>
        <w:tblStyle w:val="TableGrid"/>
        <w:tblW w:w="9445" w:type="dxa"/>
        <w:tblLook w:val="04A0" w:firstRow="1" w:lastRow="0" w:firstColumn="1" w:lastColumn="0" w:noHBand="0" w:noVBand="1"/>
      </w:tblPr>
      <w:tblGrid>
        <w:gridCol w:w="9445"/>
      </w:tblGrid>
      <w:tr w:rsidR="00D902BA" w14:paraId="378CF409" w14:textId="77777777" w:rsidTr="006F4D89">
        <w:tc>
          <w:tcPr>
            <w:tcW w:w="9445" w:type="dxa"/>
            <w:shd w:val="clear" w:color="auto" w:fill="D9D9D9" w:themeFill="background1" w:themeFillShade="D9"/>
          </w:tcPr>
          <w:p w14:paraId="3DF33D8C" w14:textId="159FED1E" w:rsidR="00D902BA" w:rsidRDefault="00D902BA">
            <w:pPr>
              <w:jc w:val="both"/>
              <w:rPr>
                <w:rFonts w:ascii="Arial" w:hAnsi="Arial" w:cs="Arial"/>
              </w:rPr>
            </w:pPr>
            <w:r>
              <w:rPr>
                <w:rFonts w:ascii="Arial" w:hAnsi="Arial" w:cs="Arial"/>
                <w:b/>
                <w:sz w:val="24"/>
              </w:rPr>
              <w:t>JASPERS recommendations (if any)</w:t>
            </w:r>
          </w:p>
        </w:tc>
      </w:tr>
      <w:tr w:rsidR="00D902BA" w14:paraId="3555EC3C" w14:textId="77777777" w:rsidTr="006F4D89">
        <w:tc>
          <w:tcPr>
            <w:tcW w:w="9445" w:type="dxa"/>
          </w:tcPr>
          <w:p w14:paraId="1D892003" w14:textId="299E41B6" w:rsidR="00D902BA" w:rsidRDefault="00D902BA">
            <w:pPr>
              <w:jc w:val="both"/>
              <w:rPr>
                <w:rFonts w:ascii="Arial" w:hAnsi="Arial" w:cs="Arial"/>
              </w:rPr>
            </w:pPr>
          </w:p>
          <w:p w14:paraId="3075933C" w14:textId="397BD31C" w:rsidR="001F76C6" w:rsidRDefault="001F76C6">
            <w:pPr>
              <w:jc w:val="both"/>
              <w:rPr>
                <w:rFonts w:ascii="Arial" w:hAnsi="Arial" w:cs="Arial"/>
              </w:rPr>
            </w:pPr>
            <w:r>
              <w:rPr>
                <w:rFonts w:ascii="Arial" w:hAnsi="Arial" w:cs="Arial"/>
              </w:rPr>
              <w:t xml:space="preserve">The project appears eligible under the specific objective (Article 2) of the JTF Regulation. </w:t>
            </w:r>
            <w:r w:rsidR="00FF2781">
              <w:rPr>
                <w:rFonts w:ascii="Arial" w:hAnsi="Arial" w:cs="Arial"/>
              </w:rPr>
              <w:t xml:space="preserve">It will support an existing sector by providing labour force that has up-to-date knowledge and </w:t>
            </w:r>
            <w:proofErr w:type="spellStart"/>
            <w:r w:rsidR="00FF2781">
              <w:rPr>
                <w:rFonts w:ascii="Arial" w:hAnsi="Arial" w:cs="Arial"/>
              </w:rPr>
              <w:t>expertice</w:t>
            </w:r>
            <w:proofErr w:type="spellEnd"/>
            <w:r w:rsidR="00FF2781">
              <w:rPr>
                <w:rFonts w:ascii="Arial" w:hAnsi="Arial" w:cs="Arial"/>
              </w:rPr>
              <w:t xml:space="preserve"> on the production, products and requirements in the glass and ceramics industry. The project will directly benefit the regional companies, economy and help the production to move towards more environmentally practices. </w:t>
            </w:r>
          </w:p>
          <w:p w14:paraId="67369DF0" w14:textId="309DCAB0" w:rsidR="001F76C6" w:rsidRDefault="001F76C6">
            <w:pPr>
              <w:jc w:val="both"/>
              <w:rPr>
                <w:rFonts w:ascii="Arial" w:hAnsi="Arial" w:cs="Arial"/>
              </w:rPr>
            </w:pPr>
          </w:p>
        </w:tc>
      </w:tr>
    </w:tbl>
    <w:p w14:paraId="3C5490CA" w14:textId="18FDD5FA" w:rsidR="00D902BA" w:rsidRDefault="00D902BA">
      <w:pPr>
        <w:jc w:val="both"/>
      </w:pPr>
    </w:p>
    <w:p w14:paraId="4C2D77F8" w14:textId="77777777" w:rsidR="00C25026" w:rsidRDefault="00C25026" w:rsidP="00C25026">
      <w:pPr>
        <w:jc w:val="both"/>
        <w:rPr>
          <w:rFonts w:ascii="Arial" w:hAnsi="Arial" w:cs="Arial"/>
          <w:b/>
          <w:sz w:val="24"/>
          <w:u w:val="single"/>
        </w:rPr>
      </w:pPr>
      <w:r>
        <w:rPr>
          <w:rFonts w:ascii="Arial" w:hAnsi="Arial" w:cs="Arial"/>
          <w:b/>
          <w:sz w:val="24"/>
          <w:u w:val="single"/>
        </w:rPr>
        <w:t>Project assessment criteria</w:t>
      </w:r>
    </w:p>
    <w:p w14:paraId="13436ACE" w14:textId="77777777" w:rsidR="00C300DE" w:rsidRDefault="00C300DE">
      <w:pPr>
        <w:jc w:val="both"/>
      </w:pPr>
    </w:p>
    <w:tbl>
      <w:tblPr>
        <w:tblStyle w:val="TableGrid"/>
        <w:tblW w:w="9445" w:type="dxa"/>
        <w:tblLook w:val="04A0" w:firstRow="1" w:lastRow="0" w:firstColumn="1" w:lastColumn="0" w:noHBand="0" w:noVBand="1"/>
      </w:tblPr>
      <w:tblGrid>
        <w:gridCol w:w="9445"/>
      </w:tblGrid>
      <w:tr w:rsidR="00F8325E" w14:paraId="6D308E14" w14:textId="77777777" w:rsidTr="00F8325E">
        <w:tc>
          <w:tcPr>
            <w:tcW w:w="9445" w:type="dxa"/>
            <w:shd w:val="clear" w:color="auto" w:fill="D9D9D9" w:themeFill="background1" w:themeFillShade="D9"/>
          </w:tcPr>
          <w:p w14:paraId="1C651703" w14:textId="77777777" w:rsidR="00F8325E" w:rsidRDefault="00F8325E" w:rsidP="00256D89">
            <w:pPr>
              <w:spacing w:before="60" w:after="60"/>
              <w:jc w:val="both"/>
              <w:rPr>
                <w:rFonts w:ascii="Arial" w:hAnsi="Arial" w:cs="Arial"/>
                <w:b/>
                <w:sz w:val="24"/>
              </w:rPr>
            </w:pPr>
            <w:r>
              <w:rPr>
                <w:rFonts w:ascii="Arial" w:hAnsi="Arial" w:cs="Arial"/>
                <w:b/>
                <w:sz w:val="24"/>
              </w:rPr>
              <w:t>Feasibility of the Project</w:t>
            </w:r>
          </w:p>
        </w:tc>
      </w:tr>
      <w:tr w:rsidR="00F8325E" w14:paraId="0EA775BD" w14:textId="77777777" w:rsidTr="00F8325E">
        <w:tc>
          <w:tcPr>
            <w:tcW w:w="9445" w:type="dxa"/>
          </w:tcPr>
          <w:p w14:paraId="7AC773BF" w14:textId="61446F04" w:rsidR="00F8325E" w:rsidRPr="00127EA1" w:rsidRDefault="00C25026">
            <w:pPr>
              <w:pStyle w:val="ListParagraph"/>
              <w:numPr>
                <w:ilvl w:val="0"/>
                <w:numId w:val="9"/>
              </w:numPr>
              <w:spacing w:before="60" w:after="60"/>
              <w:jc w:val="both"/>
              <w:rPr>
                <w:rFonts w:ascii="Arial" w:hAnsi="Arial" w:cs="Arial"/>
                <w:u w:val="single"/>
              </w:rPr>
            </w:pPr>
            <w:r w:rsidRPr="00127EA1">
              <w:rPr>
                <w:rFonts w:ascii="Arial" w:hAnsi="Arial" w:cs="Arial"/>
                <w:u w:val="single"/>
              </w:rPr>
              <w:t>Project scope and timetable</w:t>
            </w:r>
          </w:p>
          <w:p w14:paraId="366AC71E" w14:textId="77777777" w:rsidR="00FB7445" w:rsidRPr="00127EA1" w:rsidRDefault="00FB7445" w:rsidP="004C6E44">
            <w:pPr>
              <w:spacing w:before="60" w:after="60"/>
              <w:jc w:val="both"/>
              <w:rPr>
                <w:rFonts w:ascii="Arial" w:hAnsi="Arial" w:cs="Arial"/>
              </w:rPr>
            </w:pPr>
          </w:p>
          <w:p w14:paraId="68BE7FEB" w14:textId="77A8A346" w:rsidR="009962B5" w:rsidRPr="00127EA1" w:rsidRDefault="00840CC0" w:rsidP="004C6E44">
            <w:pPr>
              <w:spacing w:before="60" w:after="60"/>
              <w:jc w:val="both"/>
              <w:rPr>
                <w:rFonts w:ascii="Arial" w:hAnsi="Arial" w:cs="Arial"/>
              </w:rPr>
            </w:pPr>
            <w:r w:rsidRPr="00127EA1">
              <w:rPr>
                <w:rFonts w:ascii="Arial" w:hAnsi="Arial" w:cs="Arial"/>
              </w:rPr>
              <w:t xml:space="preserve">While details are lacking, the project objective and rationale are clearly expressed. </w:t>
            </w:r>
            <w:r w:rsidR="00FB7445" w:rsidRPr="00127EA1">
              <w:rPr>
                <w:rFonts w:ascii="Arial" w:hAnsi="Arial" w:cs="Arial"/>
              </w:rPr>
              <w:t xml:space="preserve">Details on the project’s scope e.g. in terms of square meters or persons to be using the building are not provided. </w:t>
            </w:r>
          </w:p>
          <w:p w14:paraId="19FA76C8" w14:textId="77777777" w:rsidR="00152F8C" w:rsidRPr="00127EA1" w:rsidRDefault="00152F8C" w:rsidP="004C6E44">
            <w:pPr>
              <w:spacing w:before="60" w:after="60"/>
              <w:jc w:val="both"/>
              <w:rPr>
                <w:rFonts w:ascii="Arial" w:hAnsi="Arial" w:cs="Arial"/>
              </w:rPr>
            </w:pPr>
          </w:p>
          <w:p w14:paraId="69C92986" w14:textId="58BB06A3" w:rsidR="004C6E44" w:rsidRPr="00127EA1" w:rsidRDefault="004C6E44" w:rsidP="004C6E44">
            <w:pPr>
              <w:spacing w:before="60" w:after="60"/>
              <w:jc w:val="both"/>
              <w:rPr>
                <w:rFonts w:ascii="Arial" w:hAnsi="Arial" w:cs="Arial"/>
              </w:rPr>
            </w:pPr>
            <w:r w:rsidRPr="00127EA1">
              <w:rPr>
                <w:rFonts w:ascii="Arial" w:hAnsi="Arial" w:cs="Arial"/>
              </w:rPr>
              <w:t>The readiness of the project is low with the possibility to submit a project application in 2023.</w:t>
            </w:r>
            <w:r w:rsidR="00840CC0" w:rsidRPr="00127EA1">
              <w:rPr>
                <w:rFonts w:ascii="Arial" w:hAnsi="Arial" w:cs="Arial"/>
              </w:rPr>
              <w:t xml:space="preserve"> </w:t>
            </w:r>
            <w:r w:rsidRPr="00127EA1">
              <w:rPr>
                <w:rFonts w:ascii="Arial" w:hAnsi="Arial" w:cs="Arial"/>
              </w:rPr>
              <w:t xml:space="preserve"> </w:t>
            </w:r>
            <w:r w:rsidR="00840CC0" w:rsidRPr="00127EA1">
              <w:rPr>
                <w:rFonts w:ascii="Arial" w:hAnsi="Arial" w:cs="Arial"/>
              </w:rPr>
              <w:t xml:space="preserve">An architectural plan is currently being prepared and next would be launching the calls for tenders for construction and planning/documentation works. </w:t>
            </w:r>
          </w:p>
          <w:p w14:paraId="27AB4E5A" w14:textId="77777777" w:rsidR="00152F8C" w:rsidRPr="00127EA1" w:rsidRDefault="00152F8C" w:rsidP="0052075B">
            <w:pPr>
              <w:spacing w:before="60" w:after="60"/>
              <w:jc w:val="both"/>
              <w:rPr>
                <w:rFonts w:ascii="Arial" w:hAnsi="Arial" w:cs="Arial"/>
              </w:rPr>
            </w:pPr>
          </w:p>
          <w:p w14:paraId="6FA100C5" w14:textId="5B37610A" w:rsidR="00783E49" w:rsidRPr="00127EA1" w:rsidRDefault="0052075B" w:rsidP="00152F8C">
            <w:pPr>
              <w:spacing w:before="60" w:after="60"/>
              <w:jc w:val="both"/>
              <w:rPr>
                <w:rFonts w:ascii="Arial" w:hAnsi="Arial" w:cs="Arial"/>
              </w:rPr>
            </w:pPr>
            <w:r w:rsidRPr="00127EA1">
              <w:rPr>
                <w:rFonts w:ascii="Arial" w:hAnsi="Arial" w:cs="Arial"/>
              </w:rPr>
              <w:t xml:space="preserve">The project has begun in Q1 2021 with design and procurement, construction works are planned to start in Q2 2023 and the building complex would be ready for </w:t>
            </w:r>
            <w:r w:rsidR="00152F8C" w:rsidRPr="00127EA1">
              <w:rPr>
                <w:rFonts w:ascii="Arial" w:hAnsi="Arial" w:cs="Arial"/>
              </w:rPr>
              <w:t>operation</w:t>
            </w:r>
            <w:r w:rsidRPr="00127EA1">
              <w:rPr>
                <w:rFonts w:ascii="Arial" w:hAnsi="Arial" w:cs="Arial"/>
              </w:rPr>
              <w:t xml:space="preserve"> in Q2 2025</w:t>
            </w:r>
            <w:r w:rsidR="00A9723C" w:rsidRPr="00127EA1">
              <w:rPr>
                <w:rFonts w:ascii="Arial" w:hAnsi="Arial" w:cs="Arial"/>
              </w:rPr>
              <w:t>.</w:t>
            </w:r>
            <w:r w:rsidR="00FB7445" w:rsidRPr="00127EA1">
              <w:rPr>
                <w:rFonts w:ascii="Arial" w:hAnsi="Arial" w:cs="Arial"/>
              </w:rPr>
              <w:t xml:space="preserve"> The buildings are expect to be in operation in 4.5 years, which seems reasonable. </w:t>
            </w:r>
          </w:p>
        </w:tc>
      </w:tr>
      <w:tr w:rsidR="00F8325E" w14:paraId="6EBC7460" w14:textId="77777777" w:rsidTr="00F8325E">
        <w:tc>
          <w:tcPr>
            <w:tcW w:w="9445" w:type="dxa"/>
          </w:tcPr>
          <w:p w14:paraId="495C83FD" w14:textId="77777777" w:rsidR="00F8325E" w:rsidRPr="00127EA1" w:rsidRDefault="00F8325E">
            <w:pPr>
              <w:pStyle w:val="ListParagraph"/>
              <w:numPr>
                <w:ilvl w:val="0"/>
                <w:numId w:val="9"/>
              </w:numPr>
              <w:spacing w:before="60" w:after="60"/>
              <w:jc w:val="both"/>
              <w:rPr>
                <w:rFonts w:ascii="Arial" w:hAnsi="Arial" w:cs="Arial"/>
                <w:u w:val="single"/>
              </w:rPr>
            </w:pPr>
            <w:r w:rsidRPr="00127EA1">
              <w:rPr>
                <w:rFonts w:ascii="Arial" w:hAnsi="Arial" w:cs="Arial"/>
                <w:u w:val="single"/>
              </w:rPr>
              <w:t>Institutional capacity</w:t>
            </w:r>
          </w:p>
          <w:p w14:paraId="29B27C6D" w14:textId="77777777" w:rsidR="003C0E67" w:rsidRPr="00127EA1" w:rsidRDefault="003C0E67" w:rsidP="003C0E67">
            <w:pPr>
              <w:pStyle w:val="ListParagraph"/>
              <w:spacing w:before="60" w:after="60"/>
              <w:ind w:left="360"/>
              <w:jc w:val="both"/>
              <w:rPr>
                <w:rFonts w:ascii="Arial" w:hAnsi="Arial" w:cs="Arial"/>
                <w:i/>
              </w:rPr>
            </w:pPr>
          </w:p>
          <w:p w14:paraId="02D7BE77" w14:textId="00C0D1AA" w:rsidR="003C0E67" w:rsidRPr="00127EA1" w:rsidRDefault="003C0E67" w:rsidP="00F40B78">
            <w:pPr>
              <w:spacing w:before="60" w:after="60"/>
              <w:jc w:val="both"/>
              <w:rPr>
                <w:rFonts w:ascii="Arial" w:hAnsi="Arial" w:cs="Arial"/>
              </w:rPr>
            </w:pPr>
            <w:r w:rsidRPr="00127EA1">
              <w:rPr>
                <w:rFonts w:ascii="Arial" w:hAnsi="Arial" w:cs="Arial"/>
              </w:rPr>
              <w:t>The applicant is Karlovy Vary Region, which is the owner of all the related properties</w:t>
            </w:r>
            <w:r w:rsidR="00F40B78" w:rsidRPr="00127EA1">
              <w:rPr>
                <w:rFonts w:ascii="Arial" w:hAnsi="Arial" w:cs="Arial"/>
              </w:rPr>
              <w:t xml:space="preserve"> and is responsible for the project’s construction part</w:t>
            </w:r>
            <w:r w:rsidRPr="00127EA1">
              <w:rPr>
                <w:rFonts w:ascii="Arial" w:hAnsi="Arial" w:cs="Arial"/>
              </w:rPr>
              <w:t xml:space="preserve">, whereas the School </w:t>
            </w:r>
            <w:r w:rsidR="00F40B78" w:rsidRPr="00127EA1">
              <w:rPr>
                <w:rFonts w:ascii="Arial" w:hAnsi="Arial" w:cs="Arial"/>
              </w:rPr>
              <w:t xml:space="preserve">will </w:t>
            </w:r>
            <w:r w:rsidRPr="00127EA1">
              <w:rPr>
                <w:rFonts w:ascii="Arial" w:hAnsi="Arial" w:cs="Arial"/>
              </w:rPr>
              <w:t>operate the facilities</w:t>
            </w:r>
            <w:r w:rsidR="00F40B78" w:rsidRPr="00127EA1">
              <w:rPr>
                <w:rFonts w:ascii="Arial" w:hAnsi="Arial" w:cs="Arial"/>
              </w:rPr>
              <w:t xml:space="preserve"> and manage the educational activities</w:t>
            </w:r>
            <w:r w:rsidRPr="00127EA1">
              <w:rPr>
                <w:rFonts w:ascii="Arial" w:hAnsi="Arial" w:cs="Arial"/>
              </w:rPr>
              <w:t>.</w:t>
            </w:r>
          </w:p>
          <w:p w14:paraId="18517FE3" w14:textId="5F54422B" w:rsidR="00783E49" w:rsidRPr="00127EA1" w:rsidRDefault="00DA1BD2" w:rsidP="00F40B78">
            <w:pPr>
              <w:spacing w:before="60" w:after="60"/>
              <w:jc w:val="both"/>
              <w:rPr>
                <w:rFonts w:ascii="Arial" w:hAnsi="Arial" w:cs="Arial"/>
              </w:rPr>
            </w:pPr>
            <w:r w:rsidRPr="00127EA1">
              <w:rPr>
                <w:rFonts w:ascii="Arial" w:hAnsi="Arial" w:cs="Arial"/>
              </w:rPr>
              <w:t xml:space="preserve">The Region will manage the </w:t>
            </w:r>
            <w:r w:rsidR="00084CE4" w:rsidRPr="00127EA1">
              <w:rPr>
                <w:rFonts w:ascii="Arial" w:hAnsi="Arial" w:cs="Arial"/>
              </w:rPr>
              <w:t xml:space="preserve">construction </w:t>
            </w:r>
            <w:r w:rsidRPr="00127EA1">
              <w:rPr>
                <w:rFonts w:ascii="Arial" w:hAnsi="Arial" w:cs="Arial"/>
              </w:rPr>
              <w:t xml:space="preserve">project together with </w:t>
            </w:r>
            <w:r w:rsidR="00FD56A8" w:rsidRPr="00127EA1">
              <w:rPr>
                <w:rFonts w:ascii="Arial" w:hAnsi="Arial" w:cs="Arial"/>
              </w:rPr>
              <w:t xml:space="preserve">Education, Youth and Sports Department (preparation of the project application), Investment Department (supervision of the construction part of the project), Regional Development Department (compliance of the project with the Regional Strategy Papers) and Project Management Department (compliance with the call for the OP ST). </w:t>
            </w:r>
            <w:r w:rsidR="009457DA" w:rsidRPr="00127EA1">
              <w:rPr>
                <w:rFonts w:ascii="Arial" w:hAnsi="Arial" w:cs="Arial"/>
              </w:rPr>
              <w:t>Therefore, t</w:t>
            </w:r>
            <w:r w:rsidR="0051302C" w:rsidRPr="00127EA1">
              <w:rPr>
                <w:rFonts w:ascii="Arial" w:hAnsi="Arial" w:cs="Arial"/>
              </w:rPr>
              <w:t xml:space="preserve">he Karlovy Vary Region has </w:t>
            </w:r>
            <w:r w:rsidR="001C706A" w:rsidRPr="00127EA1">
              <w:rPr>
                <w:rFonts w:ascii="Arial" w:hAnsi="Arial" w:cs="Arial"/>
              </w:rPr>
              <w:t xml:space="preserve">sufficient experience in implementing projects of similar scope and scale </w:t>
            </w:r>
            <w:r w:rsidR="00D543FA" w:rsidRPr="00127EA1">
              <w:rPr>
                <w:rFonts w:ascii="Arial" w:hAnsi="Arial" w:cs="Arial"/>
              </w:rPr>
              <w:t>as</w:t>
            </w:r>
            <w:r w:rsidR="001C706A" w:rsidRPr="00127EA1">
              <w:rPr>
                <w:rFonts w:ascii="Arial" w:hAnsi="Arial" w:cs="Arial"/>
              </w:rPr>
              <w:t xml:space="preserve"> the proposed one.</w:t>
            </w:r>
            <w:r w:rsidR="009457DA" w:rsidRPr="00127EA1">
              <w:rPr>
                <w:rFonts w:ascii="Arial" w:hAnsi="Arial" w:cs="Arial"/>
              </w:rPr>
              <w:t xml:space="preserve"> Similarly, the Central Industrial School of Ceramic and Glass in Karlovy Vary has proven expertise and experience in organizing and delivering the education and training services presented above. </w:t>
            </w:r>
          </w:p>
          <w:p w14:paraId="707D256A" w14:textId="77777777" w:rsidR="00247F50" w:rsidRPr="00127EA1" w:rsidRDefault="00247F50" w:rsidP="002B454F">
            <w:pPr>
              <w:spacing w:before="60" w:after="60"/>
              <w:ind w:left="423"/>
              <w:jc w:val="both"/>
              <w:rPr>
                <w:rFonts w:ascii="Arial" w:hAnsi="Arial" w:cs="Arial"/>
              </w:rPr>
            </w:pPr>
          </w:p>
          <w:p w14:paraId="058C343B" w14:textId="30176B8C" w:rsidR="00247F50" w:rsidRPr="00127EA1" w:rsidRDefault="00247F50" w:rsidP="00D543FA">
            <w:pPr>
              <w:spacing w:before="60" w:after="60"/>
              <w:jc w:val="both"/>
              <w:rPr>
                <w:rFonts w:ascii="Arial" w:hAnsi="Arial" w:cs="Arial"/>
                <w:i/>
              </w:rPr>
            </w:pPr>
            <w:r w:rsidRPr="00127EA1">
              <w:rPr>
                <w:rFonts w:ascii="Arial" w:hAnsi="Arial" w:cs="Arial"/>
              </w:rPr>
              <w:t xml:space="preserve">The applicant is a public sector entity, details on its financial capacity and funding sources were not provided. </w:t>
            </w:r>
          </w:p>
        </w:tc>
      </w:tr>
      <w:tr w:rsidR="00F8325E" w14:paraId="794429B3" w14:textId="77777777" w:rsidTr="00F8325E">
        <w:tc>
          <w:tcPr>
            <w:tcW w:w="9445" w:type="dxa"/>
          </w:tcPr>
          <w:p w14:paraId="4EC988E0" w14:textId="77777777" w:rsidR="00F8325E" w:rsidRPr="00127EA1" w:rsidRDefault="00F8325E">
            <w:pPr>
              <w:pStyle w:val="ListParagraph"/>
              <w:numPr>
                <w:ilvl w:val="0"/>
                <w:numId w:val="9"/>
              </w:numPr>
              <w:spacing w:before="60" w:after="60"/>
              <w:jc w:val="both"/>
              <w:rPr>
                <w:rFonts w:ascii="Arial" w:hAnsi="Arial" w:cs="Arial"/>
                <w:u w:val="single"/>
              </w:rPr>
            </w:pPr>
            <w:r w:rsidRPr="00127EA1">
              <w:rPr>
                <w:rFonts w:ascii="Arial" w:hAnsi="Arial" w:cs="Arial"/>
                <w:u w:val="single"/>
              </w:rPr>
              <w:t>Technical feasibility</w:t>
            </w:r>
          </w:p>
          <w:p w14:paraId="0E1B6F2C" w14:textId="77777777" w:rsidR="00B31257" w:rsidRPr="00127EA1" w:rsidRDefault="00B31257" w:rsidP="00641E6B">
            <w:pPr>
              <w:spacing w:before="60" w:after="60"/>
              <w:jc w:val="both"/>
              <w:rPr>
                <w:rFonts w:ascii="Arial" w:hAnsi="Arial" w:cs="Arial"/>
              </w:rPr>
            </w:pPr>
          </w:p>
          <w:p w14:paraId="26268A41" w14:textId="28AD7007" w:rsidR="009457DA" w:rsidRPr="00127EA1" w:rsidRDefault="009457DA" w:rsidP="00641E6B">
            <w:pPr>
              <w:spacing w:before="60" w:after="60"/>
              <w:jc w:val="both"/>
              <w:rPr>
                <w:rFonts w:ascii="Arial" w:hAnsi="Arial" w:cs="Arial"/>
              </w:rPr>
            </w:pPr>
            <w:r w:rsidRPr="00127EA1">
              <w:rPr>
                <w:rFonts w:ascii="Arial" w:hAnsi="Arial" w:cs="Arial"/>
              </w:rPr>
              <w:t xml:space="preserve">The size of the building area is not provided in the material. </w:t>
            </w:r>
            <w:r w:rsidR="00641E6B" w:rsidRPr="00127EA1">
              <w:rPr>
                <w:rFonts w:ascii="Arial" w:hAnsi="Arial" w:cs="Arial"/>
              </w:rPr>
              <w:t xml:space="preserve">Also, the number of new </w:t>
            </w:r>
            <w:r w:rsidR="00B31257" w:rsidRPr="00127EA1">
              <w:rPr>
                <w:rFonts w:ascii="Arial" w:hAnsi="Arial" w:cs="Arial"/>
              </w:rPr>
              <w:t>students</w:t>
            </w:r>
            <w:r w:rsidR="00641E6B" w:rsidRPr="00127EA1">
              <w:rPr>
                <w:rFonts w:ascii="Arial" w:hAnsi="Arial" w:cs="Arial"/>
              </w:rPr>
              <w:t xml:space="preserve"> expected to </w:t>
            </w:r>
            <w:proofErr w:type="spellStart"/>
            <w:r w:rsidR="00641E6B" w:rsidRPr="00127EA1">
              <w:rPr>
                <w:rFonts w:ascii="Arial" w:hAnsi="Arial" w:cs="Arial"/>
              </w:rPr>
              <w:t>enroll</w:t>
            </w:r>
            <w:proofErr w:type="spellEnd"/>
            <w:r w:rsidR="00641E6B" w:rsidRPr="00127EA1">
              <w:rPr>
                <w:rFonts w:ascii="Arial" w:hAnsi="Arial" w:cs="Arial"/>
              </w:rPr>
              <w:t xml:space="preserve"> in the School, new teachers and other staff to be working at the premises is </w:t>
            </w:r>
            <w:r w:rsidR="00641E6B" w:rsidRPr="00127EA1">
              <w:rPr>
                <w:rFonts w:ascii="Arial" w:hAnsi="Arial" w:cs="Arial"/>
              </w:rPr>
              <w:lastRenderedPageBreak/>
              <w:t xml:space="preserve">not mentioned. </w:t>
            </w:r>
            <w:r w:rsidR="005777DE" w:rsidRPr="00127EA1">
              <w:rPr>
                <w:rFonts w:ascii="Arial" w:hAnsi="Arial" w:cs="Arial"/>
              </w:rPr>
              <w:t xml:space="preserve">Therefore, it is not possible for JASPERS to assess the technical feasibility of the project. </w:t>
            </w:r>
            <w:r w:rsidR="00641E6B" w:rsidRPr="00127EA1">
              <w:rPr>
                <w:rFonts w:ascii="Arial" w:hAnsi="Arial" w:cs="Arial"/>
              </w:rPr>
              <w:t xml:space="preserve"> </w:t>
            </w:r>
          </w:p>
          <w:p w14:paraId="5142FE8D" w14:textId="6080DCC4" w:rsidR="00641E6B" w:rsidRPr="00127EA1" w:rsidRDefault="009457DA" w:rsidP="00641E6B">
            <w:pPr>
              <w:spacing w:before="60" w:after="60"/>
              <w:jc w:val="both"/>
              <w:rPr>
                <w:rFonts w:ascii="Arial" w:hAnsi="Arial" w:cs="Arial"/>
              </w:rPr>
            </w:pPr>
            <w:r w:rsidRPr="00127EA1">
              <w:rPr>
                <w:rFonts w:ascii="Arial" w:hAnsi="Arial" w:cs="Arial"/>
                <w:i/>
              </w:rPr>
              <w:t xml:space="preserve"> </w:t>
            </w:r>
            <w:r w:rsidR="00641E6B" w:rsidRPr="00127EA1">
              <w:rPr>
                <w:rFonts w:ascii="Arial" w:hAnsi="Arial" w:cs="Arial"/>
              </w:rPr>
              <w:t xml:space="preserve">The solution of renovating part of the existing secondary school and complementing it with a new building is a better solution compared to building a new facility. </w:t>
            </w:r>
            <w:r w:rsidR="000671F2" w:rsidRPr="00127EA1">
              <w:rPr>
                <w:rFonts w:ascii="Arial" w:hAnsi="Arial" w:cs="Arial"/>
              </w:rPr>
              <w:t>Architecturally</w:t>
            </w:r>
            <w:r w:rsidR="00641E6B" w:rsidRPr="00127EA1">
              <w:rPr>
                <w:rFonts w:ascii="Arial" w:hAnsi="Arial" w:cs="Arial"/>
              </w:rPr>
              <w:t xml:space="preserve">, the building will be designed to encourage interaction and enhance </w:t>
            </w:r>
            <w:r w:rsidR="0061668C" w:rsidRPr="00127EA1">
              <w:rPr>
                <w:rFonts w:ascii="Arial" w:hAnsi="Arial" w:cs="Arial"/>
              </w:rPr>
              <w:t xml:space="preserve">the </w:t>
            </w:r>
            <w:r w:rsidR="00641E6B" w:rsidRPr="00127EA1">
              <w:rPr>
                <w:rFonts w:ascii="Arial" w:hAnsi="Arial" w:cs="Arial"/>
              </w:rPr>
              <w:t xml:space="preserve">community feel. </w:t>
            </w:r>
          </w:p>
          <w:p w14:paraId="00F2AF85" w14:textId="5E318FC7" w:rsidR="002D02E1" w:rsidRPr="00127EA1" w:rsidRDefault="002D02E1" w:rsidP="00641E6B">
            <w:pPr>
              <w:spacing w:before="60" w:after="60"/>
              <w:jc w:val="both"/>
              <w:rPr>
                <w:rFonts w:ascii="Arial" w:hAnsi="Arial" w:cs="Arial"/>
                <w:i/>
              </w:rPr>
            </w:pPr>
          </w:p>
        </w:tc>
      </w:tr>
      <w:tr w:rsidR="00F8325E" w14:paraId="1EAE29A4" w14:textId="77777777" w:rsidTr="00F8325E">
        <w:tc>
          <w:tcPr>
            <w:tcW w:w="9445" w:type="dxa"/>
          </w:tcPr>
          <w:p w14:paraId="4700B48F" w14:textId="4974890B" w:rsidR="00F8325E" w:rsidRPr="00127EA1" w:rsidRDefault="00C25026">
            <w:pPr>
              <w:pStyle w:val="ListParagraph"/>
              <w:numPr>
                <w:ilvl w:val="0"/>
                <w:numId w:val="9"/>
              </w:numPr>
              <w:spacing w:before="60" w:after="60"/>
              <w:jc w:val="both"/>
              <w:rPr>
                <w:rFonts w:ascii="Arial" w:hAnsi="Arial" w:cs="Arial"/>
                <w:u w:val="single"/>
              </w:rPr>
            </w:pPr>
            <w:r w:rsidRPr="00127EA1">
              <w:rPr>
                <w:rFonts w:ascii="Arial" w:hAnsi="Arial" w:cs="Arial"/>
                <w:u w:val="single"/>
              </w:rPr>
              <w:lastRenderedPageBreak/>
              <w:t xml:space="preserve">Financial </w:t>
            </w:r>
            <w:r w:rsidR="00F8325E" w:rsidRPr="00127EA1">
              <w:rPr>
                <w:rFonts w:ascii="Arial" w:hAnsi="Arial" w:cs="Arial"/>
                <w:u w:val="single"/>
              </w:rPr>
              <w:t>feasibility</w:t>
            </w:r>
          </w:p>
          <w:p w14:paraId="16BA449D" w14:textId="77777777" w:rsidR="008F538B" w:rsidRPr="00127EA1" w:rsidRDefault="008F538B" w:rsidP="008F538B">
            <w:pPr>
              <w:pStyle w:val="ListParagraph"/>
              <w:spacing w:before="60" w:after="60"/>
              <w:ind w:left="360"/>
              <w:jc w:val="both"/>
              <w:rPr>
                <w:rFonts w:ascii="Arial" w:hAnsi="Arial" w:cs="Arial"/>
                <w:u w:val="single"/>
              </w:rPr>
            </w:pPr>
          </w:p>
          <w:p w14:paraId="3C327AB8" w14:textId="0348F566" w:rsidR="00783E49" w:rsidRPr="00127EA1" w:rsidRDefault="009055D6" w:rsidP="00783E49">
            <w:pPr>
              <w:spacing w:before="60" w:after="60"/>
              <w:jc w:val="both"/>
              <w:rPr>
                <w:rFonts w:ascii="Arial" w:hAnsi="Arial" w:cs="Arial"/>
              </w:rPr>
            </w:pPr>
            <w:r w:rsidRPr="00127EA1">
              <w:rPr>
                <w:rFonts w:ascii="Arial" w:hAnsi="Arial" w:cs="Arial"/>
              </w:rPr>
              <w:t xml:space="preserve">Demand for the project originates from the need to widen the School’s education and life-long training offer in order to cater up-to-date skills to the </w:t>
            </w:r>
            <w:r w:rsidR="00D92A50" w:rsidRPr="00127EA1">
              <w:rPr>
                <w:rFonts w:ascii="Arial" w:hAnsi="Arial" w:cs="Arial"/>
              </w:rPr>
              <w:t xml:space="preserve">existing </w:t>
            </w:r>
            <w:r w:rsidRPr="00127EA1">
              <w:rPr>
                <w:rFonts w:ascii="Arial" w:hAnsi="Arial" w:cs="Arial"/>
              </w:rPr>
              <w:t>local firms</w:t>
            </w:r>
            <w:r w:rsidR="00D92A50" w:rsidRPr="00127EA1">
              <w:rPr>
                <w:rFonts w:ascii="Arial" w:hAnsi="Arial" w:cs="Arial"/>
              </w:rPr>
              <w:t xml:space="preserve"> in the glass and ceramics manufacturing</w:t>
            </w:r>
            <w:r w:rsidRPr="00127EA1">
              <w:rPr>
                <w:rFonts w:ascii="Arial" w:hAnsi="Arial" w:cs="Arial"/>
              </w:rPr>
              <w:t xml:space="preserve"> and support the firms in moving towards more environmentally friendly production and higher value-added specialty products. </w:t>
            </w:r>
            <w:r w:rsidR="008F538B" w:rsidRPr="00127EA1">
              <w:rPr>
                <w:rFonts w:ascii="Arial" w:hAnsi="Arial" w:cs="Arial"/>
              </w:rPr>
              <w:t xml:space="preserve">While the connection to the existing businesses is made clear, it remains difficult to judge the importance of the glass and ceramics sector in the region. </w:t>
            </w:r>
            <w:r w:rsidR="00190123" w:rsidRPr="00127EA1">
              <w:rPr>
                <w:rFonts w:ascii="Arial" w:hAnsi="Arial" w:cs="Arial"/>
              </w:rPr>
              <w:t xml:space="preserve">Demand analysis and the sector’s outlook would be needed. </w:t>
            </w:r>
            <w:r w:rsidR="008F538B" w:rsidRPr="00127EA1">
              <w:rPr>
                <w:rFonts w:ascii="Arial" w:hAnsi="Arial" w:cs="Arial"/>
              </w:rPr>
              <w:t xml:space="preserve"> </w:t>
            </w:r>
          </w:p>
          <w:p w14:paraId="12CFA934" w14:textId="77777777" w:rsidR="000A6372" w:rsidRPr="00127EA1" w:rsidRDefault="000A6372" w:rsidP="00783E49">
            <w:pPr>
              <w:spacing w:before="60" w:after="60"/>
              <w:jc w:val="both"/>
              <w:rPr>
                <w:rFonts w:ascii="Arial" w:hAnsi="Arial" w:cs="Arial"/>
              </w:rPr>
            </w:pPr>
          </w:p>
          <w:p w14:paraId="0F8ABBBC" w14:textId="1087ECCD" w:rsidR="005D208D" w:rsidRPr="00127EA1" w:rsidRDefault="008B5F2C" w:rsidP="005D208D">
            <w:pPr>
              <w:spacing w:before="60" w:after="60"/>
              <w:jc w:val="both"/>
              <w:rPr>
                <w:rFonts w:ascii="Arial" w:hAnsi="Arial" w:cs="Arial"/>
              </w:rPr>
            </w:pPr>
            <w:r w:rsidRPr="00127EA1">
              <w:rPr>
                <w:rFonts w:ascii="Arial" w:hAnsi="Arial" w:cs="Arial"/>
              </w:rPr>
              <w:t>The project’s budget remains are very high-level and the size of the buildings is missing, therefore, it is impossible to assess the realism of the project’s costs.</w:t>
            </w:r>
            <w:r w:rsidR="004834E2" w:rsidRPr="00127EA1">
              <w:rPr>
                <w:rFonts w:ascii="Arial" w:hAnsi="Arial" w:cs="Arial"/>
              </w:rPr>
              <w:t xml:space="preserve"> </w:t>
            </w:r>
            <w:r w:rsidR="004834E2" w:rsidRPr="00127EA1">
              <w:rPr>
                <w:rFonts w:ascii="Arial" w:hAnsi="Arial" w:cs="Arial"/>
              </w:rPr>
              <w:br/>
            </w:r>
            <w:r w:rsidR="002E29B9" w:rsidRPr="00127EA1">
              <w:rPr>
                <w:rFonts w:ascii="Arial" w:hAnsi="Arial" w:cs="Arial"/>
              </w:rPr>
              <w:t xml:space="preserve">The project cost is estimated at </w:t>
            </w:r>
            <w:r w:rsidR="009878A8" w:rsidRPr="00127EA1">
              <w:rPr>
                <w:rFonts w:ascii="Arial" w:hAnsi="Arial" w:cs="Arial"/>
              </w:rPr>
              <w:t>C</w:t>
            </w:r>
            <w:r w:rsidR="002E29B9" w:rsidRPr="00127EA1">
              <w:rPr>
                <w:rFonts w:ascii="Arial" w:hAnsi="Arial" w:cs="Arial"/>
              </w:rPr>
              <w:t xml:space="preserve">ZK 680m (EUR 26.5m), with all costs allocated to construction and instrumentation. The costs include the entire design-build process. </w:t>
            </w:r>
            <w:r w:rsidR="00763EDB" w:rsidRPr="00127EA1">
              <w:rPr>
                <w:rFonts w:ascii="Arial" w:hAnsi="Arial" w:cs="Arial"/>
              </w:rPr>
              <w:t xml:space="preserve">The Karlovy Vary Region will cover 15% of the budget, and </w:t>
            </w:r>
            <w:r w:rsidR="005D208D" w:rsidRPr="00127EA1">
              <w:rPr>
                <w:rFonts w:ascii="Arial" w:hAnsi="Arial" w:cs="Arial"/>
              </w:rPr>
              <w:t>85%</w:t>
            </w:r>
            <w:r w:rsidR="00763EDB" w:rsidRPr="00127EA1">
              <w:rPr>
                <w:rFonts w:ascii="Arial" w:hAnsi="Arial" w:cs="Arial"/>
              </w:rPr>
              <w:t xml:space="preserve"> is expected to come from the JTF subsidy. </w:t>
            </w:r>
            <w:r w:rsidR="00763EDB" w:rsidRPr="00127EA1">
              <w:rPr>
                <w:rFonts w:ascii="Arial" w:hAnsi="Arial" w:cs="Arial"/>
              </w:rPr>
              <w:tab/>
            </w:r>
            <w:r w:rsidR="005D208D" w:rsidRPr="00127EA1">
              <w:rPr>
                <w:rFonts w:ascii="Arial" w:hAnsi="Arial" w:cs="Arial"/>
              </w:rPr>
              <w:tab/>
            </w:r>
            <w:r w:rsidR="005D208D" w:rsidRPr="00127EA1">
              <w:rPr>
                <w:rFonts w:ascii="Arial" w:hAnsi="Arial" w:cs="Arial"/>
              </w:rPr>
              <w:tab/>
            </w:r>
            <w:r w:rsidR="005D208D" w:rsidRPr="00127EA1">
              <w:rPr>
                <w:rFonts w:ascii="Arial" w:hAnsi="Arial" w:cs="Arial"/>
              </w:rPr>
              <w:tab/>
            </w:r>
            <w:r w:rsidR="005D208D" w:rsidRPr="00127EA1">
              <w:rPr>
                <w:rFonts w:ascii="Arial" w:hAnsi="Arial" w:cs="Arial"/>
              </w:rPr>
              <w:tab/>
            </w:r>
            <w:r w:rsidR="005D208D" w:rsidRPr="00127EA1">
              <w:rPr>
                <w:rFonts w:ascii="Arial" w:hAnsi="Arial" w:cs="Arial"/>
              </w:rPr>
              <w:tab/>
            </w:r>
            <w:r w:rsidR="005D208D" w:rsidRPr="00127EA1">
              <w:rPr>
                <w:rFonts w:ascii="Arial" w:hAnsi="Arial" w:cs="Arial"/>
              </w:rPr>
              <w:tab/>
            </w:r>
            <w:r w:rsidR="005D208D" w:rsidRPr="00127EA1">
              <w:rPr>
                <w:rFonts w:ascii="Arial" w:hAnsi="Arial" w:cs="Arial"/>
              </w:rPr>
              <w:tab/>
            </w:r>
          </w:p>
          <w:p w14:paraId="2B032565" w14:textId="77777777" w:rsidR="004834E2" w:rsidRPr="00127EA1" w:rsidRDefault="004834E2" w:rsidP="004834E2">
            <w:pPr>
              <w:spacing w:before="60" w:after="60"/>
              <w:jc w:val="both"/>
              <w:rPr>
                <w:rFonts w:ascii="Arial" w:hAnsi="Arial" w:cs="Arial"/>
              </w:rPr>
            </w:pPr>
          </w:p>
          <w:p w14:paraId="37C939AB" w14:textId="56D4D2FB" w:rsidR="004834E2" w:rsidRPr="00127EA1" w:rsidRDefault="004834E2" w:rsidP="004834E2">
            <w:pPr>
              <w:spacing w:before="60" w:after="60"/>
              <w:jc w:val="both"/>
              <w:rPr>
                <w:rFonts w:ascii="Arial" w:hAnsi="Arial" w:cs="Arial"/>
              </w:rPr>
            </w:pPr>
            <w:r w:rsidRPr="00127EA1">
              <w:rPr>
                <w:rFonts w:ascii="Arial" w:hAnsi="Arial" w:cs="Arial"/>
              </w:rPr>
              <w:t xml:space="preserve">The education, training and other activities to be provided by the School will be partly covered by an increase of the revenues from the regional budget to ca. CZK 6.9m per year. After completion, part of the </w:t>
            </w:r>
            <w:proofErr w:type="spellStart"/>
            <w:r w:rsidRPr="00127EA1">
              <w:rPr>
                <w:rFonts w:ascii="Arial" w:hAnsi="Arial" w:cs="Arial"/>
              </w:rPr>
              <w:t>opex</w:t>
            </w:r>
            <w:proofErr w:type="spellEnd"/>
            <w:r w:rsidRPr="00127EA1">
              <w:rPr>
                <w:rFonts w:ascii="Arial" w:hAnsi="Arial" w:cs="Arial"/>
              </w:rPr>
              <w:t xml:space="preserve"> related to buildings themselves will be covered by revenues from renting of the facilities for events, professional use, and activities. </w:t>
            </w:r>
          </w:p>
          <w:p w14:paraId="011BB2FC" w14:textId="0B1A953F" w:rsidR="00783E49" w:rsidRPr="00127EA1" w:rsidRDefault="00783E49" w:rsidP="002E29B9">
            <w:pPr>
              <w:spacing w:before="60" w:after="60"/>
              <w:jc w:val="both"/>
              <w:rPr>
                <w:rFonts w:ascii="Arial" w:hAnsi="Arial" w:cs="Arial"/>
              </w:rPr>
            </w:pPr>
          </w:p>
        </w:tc>
      </w:tr>
      <w:tr w:rsidR="00F8325E" w14:paraId="7653D42E" w14:textId="77777777" w:rsidTr="00F8325E">
        <w:tc>
          <w:tcPr>
            <w:tcW w:w="9445" w:type="dxa"/>
          </w:tcPr>
          <w:p w14:paraId="6A054300" w14:textId="393242BE" w:rsidR="008E0B4A" w:rsidRPr="00127EA1" w:rsidRDefault="007F2832" w:rsidP="00BE5331">
            <w:pPr>
              <w:pStyle w:val="ListParagraph"/>
              <w:numPr>
                <w:ilvl w:val="0"/>
                <w:numId w:val="9"/>
              </w:numPr>
              <w:rPr>
                <w:rFonts w:ascii="Arial" w:hAnsi="Arial" w:cs="Arial"/>
                <w:u w:val="single"/>
              </w:rPr>
            </w:pPr>
            <w:r w:rsidRPr="00127EA1">
              <w:rPr>
                <w:rFonts w:ascii="Arial" w:hAnsi="Arial" w:cs="Arial"/>
                <w:u w:val="single"/>
              </w:rPr>
              <w:t>Project risks</w:t>
            </w:r>
          </w:p>
          <w:p w14:paraId="5837437F" w14:textId="77777777" w:rsidR="00F1623B" w:rsidRPr="00127EA1" w:rsidRDefault="00F1623B" w:rsidP="00F1623B">
            <w:pPr>
              <w:pStyle w:val="ListParagraph"/>
              <w:ind w:left="360"/>
              <w:rPr>
                <w:rFonts w:ascii="Arial" w:hAnsi="Arial" w:cs="Arial"/>
                <w:u w:val="single"/>
              </w:rPr>
            </w:pPr>
          </w:p>
          <w:p w14:paraId="0AC4C124" w14:textId="77777777" w:rsidR="00F1623B" w:rsidRPr="00127EA1" w:rsidRDefault="00F1623B" w:rsidP="00F1623B">
            <w:pPr>
              <w:spacing w:before="60" w:after="60"/>
              <w:jc w:val="both"/>
              <w:rPr>
                <w:rFonts w:ascii="Arial" w:hAnsi="Arial" w:cs="Arial"/>
              </w:rPr>
            </w:pPr>
            <w:r w:rsidRPr="00127EA1">
              <w:rPr>
                <w:rFonts w:ascii="Arial" w:hAnsi="Arial" w:cs="Arial"/>
              </w:rPr>
              <w:t>In JASPERS opinion:</w:t>
            </w:r>
          </w:p>
          <w:p w14:paraId="27C2C87C" w14:textId="4608EB1E" w:rsidR="00C25026" w:rsidRPr="00127EA1" w:rsidRDefault="00C25026" w:rsidP="00FB0EFD">
            <w:pPr>
              <w:pStyle w:val="ListParagraph"/>
              <w:numPr>
                <w:ilvl w:val="0"/>
                <w:numId w:val="5"/>
              </w:numPr>
              <w:spacing w:before="60" w:after="60"/>
              <w:jc w:val="both"/>
              <w:rPr>
                <w:color w:val="1F497D"/>
              </w:rPr>
            </w:pPr>
            <w:r w:rsidRPr="00127EA1">
              <w:rPr>
                <w:rFonts w:ascii="Arial" w:hAnsi="Arial" w:cs="Arial"/>
                <w:i/>
              </w:rPr>
              <w:t>Technical risks</w:t>
            </w:r>
            <w:r w:rsidR="001807A7" w:rsidRPr="00127EA1">
              <w:rPr>
                <w:rFonts w:ascii="Arial" w:hAnsi="Arial" w:cs="Arial"/>
                <w:i/>
              </w:rPr>
              <w:t xml:space="preserve"> are high</w:t>
            </w:r>
            <w:r w:rsidR="00CF47E7" w:rsidRPr="00127EA1">
              <w:rPr>
                <w:rFonts w:ascii="Arial" w:hAnsi="Arial" w:cs="Arial"/>
              </w:rPr>
              <w:t xml:space="preserve">: </w:t>
            </w:r>
            <w:r w:rsidR="00082D55" w:rsidRPr="00127EA1">
              <w:rPr>
                <w:rFonts w:ascii="Arial" w:hAnsi="Arial" w:cs="Arial"/>
              </w:rPr>
              <w:t xml:space="preserve">Renovating existing buildings may bring issues with toxic materials, structural defects in plumbing, roof, electricity, ventilation, drainage, and different types of hidden damages cumulated over the years or require mastering techniques that are hard to find. Any of these will lead to delays and budget overruns.  </w:t>
            </w:r>
          </w:p>
          <w:p w14:paraId="0077FA26" w14:textId="6FC4449F" w:rsidR="00CF47E7" w:rsidRPr="00127EA1" w:rsidRDefault="00C25026" w:rsidP="00CF47E7">
            <w:pPr>
              <w:pStyle w:val="ListParagraph"/>
              <w:numPr>
                <w:ilvl w:val="0"/>
                <w:numId w:val="5"/>
              </w:numPr>
              <w:spacing w:before="60" w:after="60"/>
              <w:jc w:val="both"/>
              <w:rPr>
                <w:color w:val="1F497D"/>
              </w:rPr>
            </w:pPr>
            <w:r w:rsidRPr="00127EA1">
              <w:rPr>
                <w:rFonts w:ascii="Arial" w:hAnsi="Arial" w:cs="Arial"/>
                <w:i/>
              </w:rPr>
              <w:t>Implementation risks</w:t>
            </w:r>
            <w:r w:rsidR="001807A7" w:rsidRPr="00127EA1">
              <w:rPr>
                <w:rFonts w:ascii="Arial" w:hAnsi="Arial" w:cs="Arial"/>
                <w:i/>
              </w:rPr>
              <w:t xml:space="preserve"> are medium</w:t>
            </w:r>
            <w:r w:rsidR="00CF47E7" w:rsidRPr="00127EA1">
              <w:rPr>
                <w:rFonts w:ascii="Arial" w:hAnsi="Arial" w:cs="Arial"/>
              </w:rPr>
              <w:t xml:space="preserve">: </w:t>
            </w:r>
            <w:r w:rsidR="00A9723C" w:rsidRPr="00127EA1">
              <w:rPr>
                <w:rFonts w:ascii="Arial" w:hAnsi="Arial" w:cs="Arial"/>
              </w:rPr>
              <w:t xml:space="preserve">All the construction works are planned to be finished in two years. </w:t>
            </w:r>
            <w:r w:rsidR="003F347A" w:rsidRPr="00127EA1">
              <w:rPr>
                <w:rFonts w:ascii="Arial" w:hAnsi="Arial" w:cs="Arial"/>
              </w:rPr>
              <w:t xml:space="preserve">The applicant has experience in carrying out similar </w:t>
            </w:r>
            <w:r w:rsidR="0084072C" w:rsidRPr="00127EA1">
              <w:rPr>
                <w:rFonts w:ascii="Arial" w:hAnsi="Arial" w:cs="Arial"/>
              </w:rPr>
              <w:t>projects</w:t>
            </w:r>
            <w:r w:rsidR="003F347A" w:rsidRPr="00127EA1">
              <w:rPr>
                <w:rFonts w:ascii="Arial" w:hAnsi="Arial" w:cs="Arial"/>
              </w:rPr>
              <w:t>. However, d</w:t>
            </w:r>
            <w:r w:rsidR="001B3E78" w:rsidRPr="00127EA1">
              <w:rPr>
                <w:rFonts w:ascii="Arial" w:hAnsi="Arial" w:cs="Arial"/>
              </w:rPr>
              <w:t>elays, budget overruns</w:t>
            </w:r>
            <w:r w:rsidR="0084072C" w:rsidRPr="00127EA1">
              <w:rPr>
                <w:rFonts w:ascii="Arial" w:hAnsi="Arial" w:cs="Arial"/>
              </w:rPr>
              <w:t>,</w:t>
            </w:r>
            <w:r w:rsidR="001B3E78" w:rsidRPr="00127EA1">
              <w:rPr>
                <w:rFonts w:ascii="Arial" w:hAnsi="Arial" w:cs="Arial"/>
              </w:rPr>
              <w:t xml:space="preserve"> and low quality of the construction works/output will materialize if there is not enough time and resources allocated to the </w:t>
            </w:r>
            <w:r w:rsidR="00082D55" w:rsidRPr="00127EA1">
              <w:rPr>
                <w:rFonts w:ascii="Arial" w:hAnsi="Arial" w:cs="Arial"/>
              </w:rPr>
              <w:t>inspection of the old building</w:t>
            </w:r>
            <w:r w:rsidR="008027BE" w:rsidRPr="00127EA1">
              <w:rPr>
                <w:rFonts w:ascii="Arial" w:hAnsi="Arial" w:cs="Arial"/>
              </w:rPr>
              <w:t>, planning the works,</w:t>
            </w:r>
            <w:r w:rsidR="00082D55" w:rsidRPr="00127EA1">
              <w:rPr>
                <w:rFonts w:ascii="Arial" w:hAnsi="Arial" w:cs="Arial"/>
              </w:rPr>
              <w:t xml:space="preserve"> and </w:t>
            </w:r>
            <w:r w:rsidR="001B3E78" w:rsidRPr="00127EA1">
              <w:rPr>
                <w:rFonts w:ascii="Arial" w:hAnsi="Arial" w:cs="Arial"/>
              </w:rPr>
              <w:t xml:space="preserve">finding </w:t>
            </w:r>
            <w:r w:rsidR="00082D55" w:rsidRPr="00127EA1">
              <w:rPr>
                <w:rFonts w:ascii="Arial" w:hAnsi="Arial" w:cs="Arial"/>
              </w:rPr>
              <w:t>contractor</w:t>
            </w:r>
            <w:r w:rsidR="001B3E78" w:rsidRPr="00127EA1">
              <w:rPr>
                <w:rFonts w:ascii="Arial" w:hAnsi="Arial" w:cs="Arial"/>
              </w:rPr>
              <w:t xml:space="preserve">(s) specialized in </w:t>
            </w:r>
            <w:r w:rsidR="0084072C" w:rsidRPr="00127EA1">
              <w:rPr>
                <w:rFonts w:ascii="Arial" w:hAnsi="Arial" w:cs="Arial"/>
              </w:rPr>
              <w:t xml:space="preserve">the </w:t>
            </w:r>
            <w:r w:rsidR="001B3E78" w:rsidRPr="00127EA1">
              <w:rPr>
                <w:rFonts w:ascii="Arial" w:hAnsi="Arial" w:cs="Arial"/>
              </w:rPr>
              <w:t xml:space="preserve">renovation. </w:t>
            </w:r>
            <w:r w:rsidR="00F8508C" w:rsidRPr="00127EA1">
              <w:rPr>
                <w:rFonts w:ascii="Arial" w:hAnsi="Arial" w:cs="Arial"/>
              </w:rPr>
              <w:t xml:space="preserve">Also permitting may last longer than expected. </w:t>
            </w:r>
          </w:p>
          <w:p w14:paraId="35655E9E" w14:textId="68EEE53D" w:rsidR="00FB0EFD" w:rsidRPr="00127EA1" w:rsidRDefault="00FB0EFD" w:rsidP="00C1474F">
            <w:pPr>
              <w:pStyle w:val="ListParagraph"/>
              <w:numPr>
                <w:ilvl w:val="0"/>
                <w:numId w:val="5"/>
              </w:numPr>
              <w:spacing w:before="60" w:after="60"/>
              <w:jc w:val="both"/>
              <w:rPr>
                <w:rFonts w:ascii="Arial" w:hAnsi="Arial" w:cs="Arial"/>
                <w:i/>
              </w:rPr>
            </w:pPr>
            <w:r w:rsidRPr="00127EA1">
              <w:rPr>
                <w:rFonts w:ascii="Arial" w:hAnsi="Arial" w:cs="Arial"/>
                <w:i/>
              </w:rPr>
              <w:t>Demand/market risks</w:t>
            </w:r>
            <w:r w:rsidR="001807A7" w:rsidRPr="00127EA1">
              <w:rPr>
                <w:rFonts w:ascii="Arial" w:hAnsi="Arial" w:cs="Arial"/>
                <w:i/>
              </w:rPr>
              <w:t xml:space="preserve"> are low</w:t>
            </w:r>
            <w:r w:rsidR="00CF47E7" w:rsidRPr="00127EA1">
              <w:rPr>
                <w:rFonts w:ascii="Arial" w:hAnsi="Arial" w:cs="Arial"/>
              </w:rPr>
              <w:t>:</w:t>
            </w:r>
            <w:r w:rsidR="00FA5C5A" w:rsidRPr="00127EA1">
              <w:rPr>
                <w:rFonts w:ascii="Arial" w:hAnsi="Arial" w:cs="Arial"/>
              </w:rPr>
              <w:t xml:space="preserve"> </w:t>
            </w:r>
            <w:r w:rsidR="00B227CA" w:rsidRPr="00127EA1">
              <w:rPr>
                <w:rFonts w:ascii="Arial" w:hAnsi="Arial" w:cs="Arial"/>
              </w:rPr>
              <w:t>A proper demand analysis</w:t>
            </w:r>
            <w:r w:rsidR="00322177" w:rsidRPr="00127EA1">
              <w:rPr>
                <w:rFonts w:ascii="Arial" w:hAnsi="Arial" w:cs="Arial"/>
              </w:rPr>
              <w:t xml:space="preserve"> and the glass and ceramics sector’s outlook have</w:t>
            </w:r>
            <w:r w:rsidR="00B227CA" w:rsidRPr="00127EA1">
              <w:rPr>
                <w:rFonts w:ascii="Arial" w:hAnsi="Arial" w:cs="Arial"/>
              </w:rPr>
              <w:t xml:space="preserve"> not been made available. However, it seems that the e</w:t>
            </w:r>
            <w:r w:rsidR="00A05E7B" w:rsidRPr="00127EA1">
              <w:rPr>
                <w:rFonts w:ascii="Arial" w:hAnsi="Arial" w:cs="Arial"/>
              </w:rPr>
              <w:t>ducation and training provided by the School</w:t>
            </w:r>
            <w:r w:rsidR="00CF47E7" w:rsidRPr="00127EA1">
              <w:rPr>
                <w:rFonts w:ascii="Arial" w:hAnsi="Arial" w:cs="Arial"/>
              </w:rPr>
              <w:t xml:space="preserve"> </w:t>
            </w:r>
            <w:r w:rsidR="0084072C" w:rsidRPr="00127EA1">
              <w:rPr>
                <w:rFonts w:ascii="Arial" w:hAnsi="Arial" w:cs="Arial"/>
              </w:rPr>
              <w:t>match</w:t>
            </w:r>
            <w:r w:rsidR="00A05E7B" w:rsidRPr="00127EA1">
              <w:rPr>
                <w:rFonts w:ascii="Arial" w:hAnsi="Arial" w:cs="Arial"/>
              </w:rPr>
              <w:t xml:space="preserve"> well the needs of the existing local firms and carry the project.</w:t>
            </w:r>
          </w:p>
          <w:p w14:paraId="2E139A51" w14:textId="79EB0BFA" w:rsidR="00281A9B" w:rsidRPr="00127EA1" w:rsidRDefault="00C25026" w:rsidP="00281A9B">
            <w:pPr>
              <w:pStyle w:val="ListParagraph"/>
              <w:numPr>
                <w:ilvl w:val="0"/>
                <w:numId w:val="5"/>
              </w:numPr>
              <w:spacing w:before="60" w:after="60"/>
              <w:jc w:val="both"/>
              <w:rPr>
                <w:rFonts w:ascii="Arial" w:hAnsi="Arial" w:cs="Arial"/>
                <w:i/>
              </w:rPr>
            </w:pPr>
            <w:r w:rsidRPr="00127EA1">
              <w:rPr>
                <w:rFonts w:ascii="Arial" w:hAnsi="Arial" w:cs="Arial"/>
                <w:i/>
              </w:rPr>
              <w:t>Financial risks</w:t>
            </w:r>
            <w:r w:rsidR="00D97498" w:rsidRPr="00127EA1">
              <w:rPr>
                <w:rFonts w:ascii="Arial" w:hAnsi="Arial" w:cs="Arial"/>
                <w:i/>
              </w:rPr>
              <w:t xml:space="preserve"> are medium</w:t>
            </w:r>
            <w:r w:rsidR="00CF47E7" w:rsidRPr="00127EA1">
              <w:rPr>
                <w:rFonts w:ascii="Arial" w:hAnsi="Arial" w:cs="Arial"/>
              </w:rPr>
              <w:t>:</w:t>
            </w:r>
            <w:r w:rsidR="00D97498" w:rsidRPr="00127EA1">
              <w:rPr>
                <w:rFonts w:ascii="Arial" w:hAnsi="Arial" w:cs="Arial"/>
              </w:rPr>
              <w:t xml:space="preserve"> </w:t>
            </w:r>
            <w:r w:rsidR="00CF47E7" w:rsidRPr="00127EA1">
              <w:rPr>
                <w:rFonts w:ascii="Arial" w:hAnsi="Arial" w:cs="Arial"/>
              </w:rPr>
              <w:t xml:space="preserve"> </w:t>
            </w:r>
            <w:r w:rsidR="00763EDB" w:rsidRPr="00127EA1">
              <w:rPr>
                <w:rFonts w:ascii="Arial" w:hAnsi="Arial" w:cs="Arial"/>
              </w:rPr>
              <w:t xml:space="preserve">Karlovy Vary Region owns the building and the land on which </w:t>
            </w:r>
            <w:r w:rsidR="00281A9B" w:rsidRPr="00127EA1">
              <w:rPr>
                <w:rFonts w:ascii="Arial" w:hAnsi="Arial" w:cs="Arial"/>
              </w:rPr>
              <w:t>the new building</w:t>
            </w:r>
            <w:r w:rsidR="00763EDB" w:rsidRPr="00127EA1">
              <w:rPr>
                <w:rFonts w:ascii="Arial" w:hAnsi="Arial" w:cs="Arial"/>
              </w:rPr>
              <w:t xml:space="preserve"> will be built. </w:t>
            </w:r>
            <w:r w:rsidR="00281A9B" w:rsidRPr="00127EA1">
              <w:rPr>
                <w:rFonts w:ascii="Arial" w:hAnsi="Arial" w:cs="Arial"/>
              </w:rPr>
              <w:t>It is also responsible for</w:t>
            </w:r>
            <w:r w:rsidR="00763EDB" w:rsidRPr="00127EA1">
              <w:rPr>
                <w:rFonts w:ascii="Arial" w:hAnsi="Arial" w:cs="Arial"/>
              </w:rPr>
              <w:t xml:space="preserve"> project</w:t>
            </w:r>
            <w:r w:rsidR="00281A9B" w:rsidRPr="00127EA1">
              <w:rPr>
                <w:rFonts w:ascii="Arial" w:hAnsi="Arial" w:cs="Arial"/>
              </w:rPr>
              <w:t xml:space="preserve"> management</w:t>
            </w:r>
            <w:r w:rsidR="00763EDB" w:rsidRPr="00127EA1">
              <w:rPr>
                <w:rFonts w:ascii="Arial" w:hAnsi="Arial" w:cs="Arial"/>
              </w:rPr>
              <w:t xml:space="preserve">, </w:t>
            </w:r>
            <w:r w:rsidR="004A1516" w:rsidRPr="00127EA1">
              <w:rPr>
                <w:rFonts w:ascii="Arial" w:hAnsi="Arial" w:cs="Arial"/>
              </w:rPr>
              <w:t xml:space="preserve">and </w:t>
            </w:r>
            <w:r w:rsidR="00763EDB" w:rsidRPr="00127EA1">
              <w:rPr>
                <w:rFonts w:ascii="Arial" w:hAnsi="Arial" w:cs="Arial"/>
              </w:rPr>
              <w:t>pre-financing and co-financing</w:t>
            </w:r>
            <w:r w:rsidR="004A1516" w:rsidRPr="00127EA1">
              <w:rPr>
                <w:rFonts w:ascii="Arial" w:hAnsi="Arial" w:cs="Arial"/>
              </w:rPr>
              <w:t>.</w:t>
            </w:r>
            <w:r w:rsidR="004A1516" w:rsidRPr="00127EA1">
              <w:rPr>
                <w:rFonts w:ascii="Arial" w:hAnsi="Arial" w:cs="Arial"/>
                <w:i/>
              </w:rPr>
              <w:t xml:space="preserve"> </w:t>
            </w:r>
            <w:r w:rsidR="0084072C" w:rsidRPr="00127EA1">
              <w:rPr>
                <w:rFonts w:ascii="Arial" w:hAnsi="Arial" w:cs="Arial"/>
              </w:rPr>
              <w:t xml:space="preserve">Its co-financing share is foreseen at 15% and </w:t>
            </w:r>
            <w:r w:rsidR="00AB0802" w:rsidRPr="00127EA1">
              <w:rPr>
                <w:rFonts w:ascii="Arial" w:hAnsi="Arial" w:cs="Arial"/>
              </w:rPr>
              <w:t xml:space="preserve">is </w:t>
            </w:r>
            <w:r w:rsidR="0084072C" w:rsidRPr="00127EA1">
              <w:rPr>
                <w:rFonts w:ascii="Arial" w:hAnsi="Arial" w:cs="Arial"/>
              </w:rPr>
              <w:t xml:space="preserve">to be drawn from its own funds. </w:t>
            </w:r>
          </w:p>
          <w:p w14:paraId="46098583" w14:textId="56435727" w:rsidR="007C6372" w:rsidRPr="00127EA1" w:rsidRDefault="007C6372" w:rsidP="007C6372">
            <w:pPr>
              <w:spacing w:before="60" w:after="60"/>
              <w:ind w:left="360"/>
              <w:jc w:val="both"/>
              <w:rPr>
                <w:color w:val="1F497D"/>
              </w:rPr>
            </w:pPr>
          </w:p>
        </w:tc>
      </w:tr>
    </w:tbl>
    <w:p w14:paraId="08FFEC4A" w14:textId="77777777" w:rsidR="007F0941" w:rsidRDefault="007F0941">
      <w:pPr>
        <w:jc w:val="both"/>
        <w:rPr>
          <w:rFonts w:ascii="Arial" w:hAnsi="Arial" w:cs="Arial"/>
          <w:b/>
        </w:rPr>
      </w:pPr>
    </w:p>
    <w:tbl>
      <w:tblPr>
        <w:tblStyle w:val="TableGrid"/>
        <w:tblW w:w="9445" w:type="dxa"/>
        <w:tblLook w:val="04A0" w:firstRow="1" w:lastRow="0" w:firstColumn="1" w:lastColumn="0" w:noHBand="0" w:noVBand="1"/>
      </w:tblPr>
      <w:tblGrid>
        <w:gridCol w:w="9445"/>
      </w:tblGrid>
      <w:tr w:rsidR="00D902BA" w14:paraId="10ADCBAF" w14:textId="77777777" w:rsidTr="006F4D89">
        <w:tc>
          <w:tcPr>
            <w:tcW w:w="9445" w:type="dxa"/>
            <w:shd w:val="clear" w:color="auto" w:fill="D9D9D9" w:themeFill="background1" w:themeFillShade="D9"/>
          </w:tcPr>
          <w:p w14:paraId="5D1884DC" w14:textId="77777777" w:rsidR="00D902BA" w:rsidRDefault="00D902BA" w:rsidP="006F4D89">
            <w:pPr>
              <w:jc w:val="both"/>
              <w:rPr>
                <w:rFonts w:ascii="Arial" w:hAnsi="Arial" w:cs="Arial"/>
              </w:rPr>
            </w:pPr>
            <w:r>
              <w:rPr>
                <w:rFonts w:ascii="Arial" w:hAnsi="Arial" w:cs="Arial"/>
                <w:b/>
                <w:sz w:val="24"/>
              </w:rPr>
              <w:lastRenderedPageBreak/>
              <w:t>JASPERS comments and recommendations (if any)</w:t>
            </w:r>
          </w:p>
        </w:tc>
      </w:tr>
      <w:tr w:rsidR="00D902BA" w14:paraId="1646AE0D" w14:textId="77777777" w:rsidTr="006F4D89">
        <w:tc>
          <w:tcPr>
            <w:tcW w:w="9445" w:type="dxa"/>
          </w:tcPr>
          <w:p w14:paraId="1C7D7758" w14:textId="6E41EF25" w:rsidR="00D902BA" w:rsidRPr="00127EA1" w:rsidRDefault="006813BF" w:rsidP="006F4D89">
            <w:pPr>
              <w:jc w:val="both"/>
              <w:rPr>
                <w:rFonts w:ascii="Arial" w:hAnsi="Arial" w:cs="Arial"/>
              </w:rPr>
            </w:pPr>
            <w:r w:rsidRPr="00127EA1">
              <w:rPr>
                <w:rFonts w:ascii="Arial" w:hAnsi="Arial" w:cs="Arial"/>
              </w:rPr>
              <w:t xml:space="preserve">While the project is aligned with both the specific objective and activities of the JTF Regulation, it lacks details on the project scope, demand, relevant sectoral outlook, costs, and long-term sustainability.  </w:t>
            </w:r>
            <w:r w:rsidR="00E125EC">
              <w:rPr>
                <w:rFonts w:ascii="Arial" w:hAnsi="Arial" w:cs="Arial"/>
              </w:rPr>
              <w:t xml:space="preserve">This make it difficult to opine of the merits of the project. </w:t>
            </w:r>
            <w:bookmarkStart w:id="0" w:name="_GoBack"/>
            <w:bookmarkEnd w:id="0"/>
          </w:p>
          <w:p w14:paraId="7077F286" w14:textId="35809F9F" w:rsidR="006B0F2D" w:rsidRPr="00127EA1" w:rsidRDefault="006B0F2D" w:rsidP="006F4D89">
            <w:pPr>
              <w:jc w:val="both"/>
              <w:rPr>
                <w:rFonts w:ascii="Arial" w:hAnsi="Arial" w:cs="Arial"/>
              </w:rPr>
            </w:pPr>
          </w:p>
          <w:p w14:paraId="22786C7B" w14:textId="1A27F088" w:rsidR="00E55A2A" w:rsidRPr="00127EA1" w:rsidRDefault="00E55A2A" w:rsidP="006F4D89">
            <w:pPr>
              <w:jc w:val="both"/>
              <w:rPr>
                <w:rFonts w:ascii="Arial" w:hAnsi="Arial" w:cs="Arial"/>
              </w:rPr>
            </w:pPr>
            <w:r w:rsidRPr="00127EA1">
              <w:rPr>
                <w:rFonts w:ascii="Arial" w:hAnsi="Arial" w:cs="Arial"/>
              </w:rPr>
              <w:t xml:space="preserve">The clear merits of the project are its linkages to the existing businesses in the region. The sector would need to enhance its RDI intensity and inputs in developing more environmentally friendly products and processes. This transformation requires human resources, which are fit for the purpose and the project directly addresses this. </w:t>
            </w:r>
          </w:p>
          <w:p w14:paraId="20D9EA6E" w14:textId="6E8B4B4B" w:rsidR="00E70C55" w:rsidRPr="00127EA1" w:rsidRDefault="00E70C55" w:rsidP="00FB0EFD">
            <w:pPr>
              <w:spacing w:before="60" w:after="60"/>
              <w:ind w:left="360"/>
              <w:jc w:val="both"/>
              <w:rPr>
                <w:rFonts w:ascii="Arial" w:hAnsi="Arial" w:cs="Arial"/>
              </w:rPr>
            </w:pPr>
          </w:p>
          <w:p w14:paraId="70D468BD" w14:textId="0D445D97" w:rsidR="000B1269" w:rsidRPr="00127EA1" w:rsidRDefault="000B1269" w:rsidP="000B1269">
            <w:pPr>
              <w:spacing w:before="60" w:after="60"/>
              <w:jc w:val="both"/>
              <w:rPr>
                <w:rFonts w:ascii="Arial" w:hAnsi="Arial" w:cs="Arial"/>
              </w:rPr>
            </w:pPr>
            <w:r w:rsidRPr="00127EA1">
              <w:rPr>
                <w:rFonts w:ascii="Arial" w:hAnsi="Arial" w:cs="Arial"/>
              </w:rPr>
              <w:t xml:space="preserve">JASEPRS’ recommendation is to focus on the missing elements, conduct a feasibility study and develop a business case for the project. </w:t>
            </w:r>
          </w:p>
          <w:p w14:paraId="1458306E" w14:textId="54A5BEC1" w:rsidR="00E70C55" w:rsidRDefault="00E70C55" w:rsidP="006F4D89">
            <w:pPr>
              <w:jc w:val="both"/>
              <w:rPr>
                <w:rFonts w:ascii="Arial" w:hAnsi="Arial" w:cs="Arial"/>
              </w:rPr>
            </w:pPr>
          </w:p>
        </w:tc>
      </w:tr>
    </w:tbl>
    <w:p w14:paraId="308FE424" w14:textId="77777777" w:rsidR="00D902BA" w:rsidRDefault="00D902BA">
      <w:pPr>
        <w:jc w:val="both"/>
        <w:rPr>
          <w:rFonts w:ascii="Arial" w:hAnsi="Arial" w:cs="Arial"/>
          <w:b/>
        </w:rPr>
      </w:pPr>
    </w:p>
    <w:tbl>
      <w:tblPr>
        <w:tblStyle w:val="TableGrid"/>
        <w:tblW w:w="9445" w:type="dxa"/>
        <w:tblLook w:val="04A0" w:firstRow="1" w:lastRow="0" w:firstColumn="1" w:lastColumn="0" w:noHBand="0" w:noVBand="1"/>
      </w:tblPr>
      <w:tblGrid>
        <w:gridCol w:w="9445"/>
      </w:tblGrid>
      <w:tr w:rsidR="007E2230" w:rsidRPr="00C60B6F" w14:paraId="6CA69616" w14:textId="77777777" w:rsidTr="00661CA4">
        <w:tc>
          <w:tcPr>
            <w:tcW w:w="9445" w:type="dxa"/>
            <w:shd w:val="clear" w:color="auto" w:fill="D9D9D9" w:themeFill="background1" w:themeFillShade="D9"/>
          </w:tcPr>
          <w:p w14:paraId="1E8EF054" w14:textId="77777777" w:rsidR="007E2230" w:rsidRPr="007E2230" w:rsidRDefault="007E2230" w:rsidP="007E2230">
            <w:pPr>
              <w:jc w:val="both"/>
              <w:rPr>
                <w:rFonts w:ascii="Arial" w:hAnsi="Arial" w:cs="Arial"/>
                <w:b/>
                <w:sz w:val="24"/>
              </w:rPr>
            </w:pPr>
            <w:r w:rsidRPr="007E2230">
              <w:rPr>
                <w:rFonts w:ascii="Arial" w:hAnsi="Arial" w:cs="Arial"/>
                <w:b/>
                <w:sz w:val="24"/>
              </w:rPr>
              <w:t>JASPERS Remarks on Financing Options</w:t>
            </w:r>
            <w:r>
              <w:rPr>
                <w:rFonts w:ascii="Arial" w:hAnsi="Arial" w:cs="Arial"/>
                <w:b/>
                <w:sz w:val="24"/>
              </w:rPr>
              <w:t xml:space="preserve"> and Project Qualification to JTM Pillars</w:t>
            </w:r>
          </w:p>
        </w:tc>
      </w:tr>
      <w:tr w:rsidR="007E2230" w:rsidRPr="00775571" w14:paraId="4DE26978" w14:textId="77777777" w:rsidTr="00661CA4">
        <w:tc>
          <w:tcPr>
            <w:tcW w:w="9445" w:type="dxa"/>
          </w:tcPr>
          <w:p w14:paraId="1041F861" w14:textId="77777777" w:rsidR="007E2230" w:rsidRPr="007E2230" w:rsidRDefault="007E2230" w:rsidP="007E2230">
            <w:pPr>
              <w:spacing w:before="120" w:after="120"/>
              <w:jc w:val="both"/>
              <w:rPr>
                <w:rFonts w:cs="Arial"/>
              </w:rPr>
            </w:pPr>
          </w:p>
        </w:tc>
      </w:tr>
    </w:tbl>
    <w:p w14:paraId="01F4FE55" w14:textId="77777777" w:rsidR="007E2230" w:rsidRDefault="007E2230">
      <w:pPr>
        <w:jc w:val="both"/>
        <w:rPr>
          <w:rFonts w:ascii="Arial" w:hAnsi="Arial" w:cs="Arial"/>
          <w:b/>
        </w:rPr>
      </w:pPr>
    </w:p>
    <w:p w14:paraId="2ECDBF46" w14:textId="77777777" w:rsidR="007F0941" w:rsidRDefault="007F0941">
      <w:pPr>
        <w:jc w:val="both"/>
        <w:rPr>
          <w:rFonts w:ascii="Arial" w:hAnsi="Arial" w:cs="Arial"/>
          <w:b/>
        </w:rPr>
      </w:pPr>
    </w:p>
    <w:sectPr w:rsidR="007F0941">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621259" w14:textId="77777777" w:rsidR="00E3394E" w:rsidRDefault="00E3394E">
      <w:pPr>
        <w:spacing w:after="0" w:line="240" w:lineRule="auto"/>
      </w:pPr>
      <w:r>
        <w:separator/>
      </w:r>
    </w:p>
  </w:endnote>
  <w:endnote w:type="continuationSeparator" w:id="0">
    <w:p w14:paraId="3B17CF1D" w14:textId="77777777" w:rsidR="00E3394E" w:rsidRDefault="00E339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ACC7E" w14:textId="77777777" w:rsidR="00E3394E" w:rsidRDefault="00E3394E">
      <w:pPr>
        <w:spacing w:after="0" w:line="240" w:lineRule="auto"/>
      </w:pPr>
      <w:r>
        <w:separator/>
      </w:r>
    </w:p>
  </w:footnote>
  <w:footnote w:type="continuationSeparator" w:id="0">
    <w:p w14:paraId="2438E295" w14:textId="77777777" w:rsidR="00E3394E" w:rsidRDefault="00E339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7419C" w14:textId="77777777" w:rsidR="007F0941" w:rsidRDefault="00DD5B0C">
    <w:pPr>
      <w:pStyle w:val="Header"/>
    </w:pPr>
    <w:r>
      <w:rPr>
        <w:noProof/>
        <w:lang w:val="en-US"/>
      </w:rPr>
      <w:drawing>
        <wp:anchor distT="0" distB="0" distL="114300" distR="114300" simplePos="0" relativeHeight="251659264" behindDoc="0" locked="0" layoutInCell="1" allowOverlap="1" wp14:anchorId="0EB13635" wp14:editId="3F7945F4">
          <wp:simplePos x="0" y="0"/>
          <wp:positionH relativeFrom="column">
            <wp:posOffset>5213210</wp:posOffset>
          </wp:positionH>
          <wp:positionV relativeFrom="paragraph">
            <wp:posOffset>-310591</wp:posOffset>
          </wp:positionV>
          <wp:extent cx="1307097" cy="563270"/>
          <wp:effectExtent l="0" t="0" r="7620" b="8255"/>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21034" cy="56927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D1DAE"/>
    <w:multiLevelType w:val="hybridMultilevel"/>
    <w:tmpl w:val="C7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1B875E5"/>
    <w:multiLevelType w:val="hybridMultilevel"/>
    <w:tmpl w:val="5CD82EA8"/>
    <w:lvl w:ilvl="0" w:tplc="4ADA1B9A">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6B744C"/>
    <w:multiLevelType w:val="hybridMultilevel"/>
    <w:tmpl w:val="D50007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CD0FB3"/>
    <w:multiLevelType w:val="hybridMultilevel"/>
    <w:tmpl w:val="EA66D5CA"/>
    <w:lvl w:ilvl="0" w:tplc="08090001">
      <w:start w:val="1"/>
      <w:numFmt w:val="bullet"/>
      <w:lvlText w:val=""/>
      <w:lvlJc w:val="left"/>
      <w:pPr>
        <w:ind w:left="783" w:hanging="360"/>
      </w:pPr>
      <w:rPr>
        <w:rFonts w:ascii="Symbol" w:hAnsi="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4" w15:restartNumberingAfterBreak="0">
    <w:nsid w:val="228B728D"/>
    <w:multiLevelType w:val="hybridMultilevel"/>
    <w:tmpl w:val="3C9A6BCE"/>
    <w:lvl w:ilvl="0" w:tplc="04090017">
      <w:start w:val="1"/>
      <w:numFmt w:val="lowerLetter"/>
      <w:lvlText w:val="%1)"/>
      <w:lvlJc w:val="left"/>
      <w:pPr>
        <w:ind w:left="704" w:hanging="360"/>
      </w:pPr>
      <w:rPr>
        <w:rFonts w:hint="default"/>
      </w:rPr>
    </w:lvl>
    <w:lvl w:ilvl="1" w:tplc="08090003" w:tentative="1">
      <w:start w:val="1"/>
      <w:numFmt w:val="bullet"/>
      <w:lvlText w:val="o"/>
      <w:lvlJc w:val="left"/>
      <w:pPr>
        <w:ind w:left="1424" w:hanging="360"/>
      </w:pPr>
      <w:rPr>
        <w:rFonts w:ascii="Courier New" w:hAnsi="Courier New" w:cs="Courier New" w:hint="default"/>
      </w:rPr>
    </w:lvl>
    <w:lvl w:ilvl="2" w:tplc="08090005" w:tentative="1">
      <w:start w:val="1"/>
      <w:numFmt w:val="bullet"/>
      <w:lvlText w:val=""/>
      <w:lvlJc w:val="left"/>
      <w:pPr>
        <w:ind w:left="2144" w:hanging="360"/>
      </w:pPr>
      <w:rPr>
        <w:rFonts w:ascii="Wingdings" w:hAnsi="Wingdings" w:hint="default"/>
      </w:rPr>
    </w:lvl>
    <w:lvl w:ilvl="3" w:tplc="08090001" w:tentative="1">
      <w:start w:val="1"/>
      <w:numFmt w:val="bullet"/>
      <w:lvlText w:val=""/>
      <w:lvlJc w:val="left"/>
      <w:pPr>
        <w:ind w:left="2864" w:hanging="360"/>
      </w:pPr>
      <w:rPr>
        <w:rFonts w:ascii="Symbol" w:hAnsi="Symbol" w:hint="default"/>
      </w:rPr>
    </w:lvl>
    <w:lvl w:ilvl="4" w:tplc="08090003" w:tentative="1">
      <w:start w:val="1"/>
      <w:numFmt w:val="bullet"/>
      <w:lvlText w:val="o"/>
      <w:lvlJc w:val="left"/>
      <w:pPr>
        <w:ind w:left="3584" w:hanging="360"/>
      </w:pPr>
      <w:rPr>
        <w:rFonts w:ascii="Courier New" w:hAnsi="Courier New" w:cs="Courier New" w:hint="default"/>
      </w:rPr>
    </w:lvl>
    <w:lvl w:ilvl="5" w:tplc="08090005" w:tentative="1">
      <w:start w:val="1"/>
      <w:numFmt w:val="bullet"/>
      <w:lvlText w:val=""/>
      <w:lvlJc w:val="left"/>
      <w:pPr>
        <w:ind w:left="4304" w:hanging="360"/>
      </w:pPr>
      <w:rPr>
        <w:rFonts w:ascii="Wingdings" w:hAnsi="Wingdings" w:hint="default"/>
      </w:rPr>
    </w:lvl>
    <w:lvl w:ilvl="6" w:tplc="08090001" w:tentative="1">
      <w:start w:val="1"/>
      <w:numFmt w:val="bullet"/>
      <w:lvlText w:val=""/>
      <w:lvlJc w:val="left"/>
      <w:pPr>
        <w:ind w:left="5024" w:hanging="360"/>
      </w:pPr>
      <w:rPr>
        <w:rFonts w:ascii="Symbol" w:hAnsi="Symbol" w:hint="default"/>
      </w:rPr>
    </w:lvl>
    <w:lvl w:ilvl="7" w:tplc="08090003" w:tentative="1">
      <w:start w:val="1"/>
      <w:numFmt w:val="bullet"/>
      <w:lvlText w:val="o"/>
      <w:lvlJc w:val="left"/>
      <w:pPr>
        <w:ind w:left="5744" w:hanging="360"/>
      </w:pPr>
      <w:rPr>
        <w:rFonts w:ascii="Courier New" w:hAnsi="Courier New" w:cs="Courier New" w:hint="default"/>
      </w:rPr>
    </w:lvl>
    <w:lvl w:ilvl="8" w:tplc="08090005" w:tentative="1">
      <w:start w:val="1"/>
      <w:numFmt w:val="bullet"/>
      <w:lvlText w:val=""/>
      <w:lvlJc w:val="left"/>
      <w:pPr>
        <w:ind w:left="6464" w:hanging="360"/>
      </w:pPr>
      <w:rPr>
        <w:rFonts w:ascii="Wingdings" w:hAnsi="Wingdings" w:hint="default"/>
      </w:rPr>
    </w:lvl>
  </w:abstractNum>
  <w:abstractNum w:abstractNumId="5" w15:restartNumberingAfterBreak="0">
    <w:nsid w:val="234D66C3"/>
    <w:multiLevelType w:val="hybridMultilevel"/>
    <w:tmpl w:val="4B509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8F16F96"/>
    <w:multiLevelType w:val="hybridMultilevel"/>
    <w:tmpl w:val="C37C17CA"/>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9583DD8"/>
    <w:multiLevelType w:val="hybridMultilevel"/>
    <w:tmpl w:val="C7185A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0B4713"/>
    <w:multiLevelType w:val="hybridMultilevel"/>
    <w:tmpl w:val="B1849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14266A6"/>
    <w:multiLevelType w:val="hybridMultilevel"/>
    <w:tmpl w:val="BCB024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CA61CF"/>
    <w:multiLevelType w:val="hybridMultilevel"/>
    <w:tmpl w:val="221859B4"/>
    <w:lvl w:ilvl="0" w:tplc="B4103B0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056E31"/>
    <w:multiLevelType w:val="hybridMultilevel"/>
    <w:tmpl w:val="3C82D3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0D44120"/>
    <w:multiLevelType w:val="hybridMultilevel"/>
    <w:tmpl w:val="F31894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25E4D5F"/>
    <w:multiLevelType w:val="hybridMultilevel"/>
    <w:tmpl w:val="FF1EADA4"/>
    <w:lvl w:ilvl="0" w:tplc="B4103B0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04103D7"/>
    <w:multiLevelType w:val="hybridMultilevel"/>
    <w:tmpl w:val="51C8FFC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54AC7F3B"/>
    <w:multiLevelType w:val="hybridMultilevel"/>
    <w:tmpl w:val="A22C20C8"/>
    <w:lvl w:ilvl="0" w:tplc="FCCA658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9F835CD"/>
    <w:multiLevelType w:val="hybridMultilevel"/>
    <w:tmpl w:val="6032F9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284A44"/>
    <w:multiLevelType w:val="hybridMultilevel"/>
    <w:tmpl w:val="652842D8"/>
    <w:lvl w:ilvl="0" w:tplc="0405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F5A5846"/>
    <w:multiLevelType w:val="multilevel"/>
    <w:tmpl w:val="78AA7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B5974FF"/>
    <w:multiLevelType w:val="hybridMultilevel"/>
    <w:tmpl w:val="36608E06"/>
    <w:lvl w:ilvl="0" w:tplc="05002A90">
      <w:start w:val="1"/>
      <w:numFmt w:val="decimal"/>
      <w:lvlText w:val="%1."/>
      <w:lvlJc w:val="left"/>
      <w:pPr>
        <w:ind w:left="720" w:hanging="360"/>
      </w:pPr>
      <w:rPr>
        <w:b w:val="0"/>
        <w:i w:val="0"/>
        <w:color w:val="00000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771076C4"/>
    <w:multiLevelType w:val="hybridMultilevel"/>
    <w:tmpl w:val="1A5EE0A4"/>
    <w:lvl w:ilvl="0" w:tplc="B4103B0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8"/>
  </w:num>
  <w:num w:numId="3">
    <w:abstractNumId w:val="8"/>
  </w:num>
  <w:num w:numId="4">
    <w:abstractNumId w:val="15"/>
  </w:num>
  <w:num w:numId="5">
    <w:abstractNumId w:val="17"/>
  </w:num>
  <w:num w:numId="6">
    <w:abstractNumId w:val="1"/>
  </w:num>
  <w:num w:numId="7">
    <w:abstractNumId w:val="12"/>
  </w:num>
  <w:num w:numId="8">
    <w:abstractNumId w:val="6"/>
  </w:num>
  <w:num w:numId="9">
    <w:abstractNumId w:val="14"/>
  </w:num>
  <w:num w:numId="10">
    <w:abstractNumId w:val="13"/>
  </w:num>
  <w:num w:numId="11">
    <w:abstractNumId w:val="10"/>
  </w:num>
  <w:num w:numId="12">
    <w:abstractNumId w:val="5"/>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2"/>
  </w:num>
  <w:num w:numId="16">
    <w:abstractNumId w:val="9"/>
  </w:num>
  <w:num w:numId="17">
    <w:abstractNumId w:val="0"/>
  </w:num>
  <w:num w:numId="18">
    <w:abstractNumId w:val="7"/>
  </w:num>
  <w:num w:numId="19">
    <w:abstractNumId w:val="11"/>
  </w:num>
  <w:num w:numId="20">
    <w:abstractNumId w:val="20"/>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cwMDC3NLcwMTc3MTRQ0lEKTi0uzszPAykwrwUAgoRtEiwAAAA="/>
  </w:docVars>
  <w:rsids>
    <w:rsidRoot w:val="00E52DD8"/>
    <w:rsid w:val="00014B94"/>
    <w:rsid w:val="000165DC"/>
    <w:rsid w:val="000236E0"/>
    <w:rsid w:val="00030CCE"/>
    <w:rsid w:val="000321F9"/>
    <w:rsid w:val="000358E2"/>
    <w:rsid w:val="00040285"/>
    <w:rsid w:val="00052B12"/>
    <w:rsid w:val="00053724"/>
    <w:rsid w:val="00066A5B"/>
    <w:rsid w:val="000671F2"/>
    <w:rsid w:val="00082678"/>
    <w:rsid w:val="00082D55"/>
    <w:rsid w:val="00084CE4"/>
    <w:rsid w:val="000A3560"/>
    <w:rsid w:val="000A61CC"/>
    <w:rsid w:val="000A6372"/>
    <w:rsid w:val="000B1269"/>
    <w:rsid w:val="000B1470"/>
    <w:rsid w:val="000B3587"/>
    <w:rsid w:val="000B5EAA"/>
    <w:rsid w:val="000D0289"/>
    <w:rsid w:val="000D1B2C"/>
    <w:rsid w:val="000D598B"/>
    <w:rsid w:val="000E38EA"/>
    <w:rsid w:val="000F45BC"/>
    <w:rsid w:val="001143D2"/>
    <w:rsid w:val="001150DB"/>
    <w:rsid w:val="00124CC9"/>
    <w:rsid w:val="00127EA1"/>
    <w:rsid w:val="00132273"/>
    <w:rsid w:val="00141BEC"/>
    <w:rsid w:val="001425AC"/>
    <w:rsid w:val="00145093"/>
    <w:rsid w:val="00145C93"/>
    <w:rsid w:val="00152F8C"/>
    <w:rsid w:val="001566A9"/>
    <w:rsid w:val="00163323"/>
    <w:rsid w:val="00163C8D"/>
    <w:rsid w:val="00170073"/>
    <w:rsid w:val="001807A7"/>
    <w:rsid w:val="0018670E"/>
    <w:rsid w:val="00190123"/>
    <w:rsid w:val="0019207D"/>
    <w:rsid w:val="00193071"/>
    <w:rsid w:val="001A6A7F"/>
    <w:rsid w:val="001A748A"/>
    <w:rsid w:val="001A774D"/>
    <w:rsid w:val="001B3E78"/>
    <w:rsid w:val="001B63A4"/>
    <w:rsid w:val="001C4439"/>
    <w:rsid w:val="001C706A"/>
    <w:rsid w:val="001E1871"/>
    <w:rsid w:val="001F668F"/>
    <w:rsid w:val="001F76C6"/>
    <w:rsid w:val="00205309"/>
    <w:rsid w:val="00216712"/>
    <w:rsid w:val="002231F7"/>
    <w:rsid w:val="002300BB"/>
    <w:rsid w:val="00232DE2"/>
    <w:rsid w:val="00245E7E"/>
    <w:rsid w:val="00247F50"/>
    <w:rsid w:val="002505B8"/>
    <w:rsid w:val="002524E7"/>
    <w:rsid w:val="00256D89"/>
    <w:rsid w:val="00264865"/>
    <w:rsid w:val="002651AE"/>
    <w:rsid w:val="00270ED9"/>
    <w:rsid w:val="00276E48"/>
    <w:rsid w:val="00281A9B"/>
    <w:rsid w:val="00283552"/>
    <w:rsid w:val="00283AE7"/>
    <w:rsid w:val="00287026"/>
    <w:rsid w:val="0029017D"/>
    <w:rsid w:val="00294857"/>
    <w:rsid w:val="002B454F"/>
    <w:rsid w:val="002B75E3"/>
    <w:rsid w:val="002C0917"/>
    <w:rsid w:val="002C337C"/>
    <w:rsid w:val="002C4A0C"/>
    <w:rsid w:val="002D02E1"/>
    <w:rsid w:val="002D113B"/>
    <w:rsid w:val="002D526E"/>
    <w:rsid w:val="002E0CDD"/>
    <w:rsid w:val="002E0E8C"/>
    <w:rsid w:val="002E29B9"/>
    <w:rsid w:val="002F3940"/>
    <w:rsid w:val="002F4CAF"/>
    <w:rsid w:val="002F70A8"/>
    <w:rsid w:val="00307E63"/>
    <w:rsid w:val="00311EA5"/>
    <w:rsid w:val="0031644A"/>
    <w:rsid w:val="00322177"/>
    <w:rsid w:val="00336D3B"/>
    <w:rsid w:val="00361343"/>
    <w:rsid w:val="00373506"/>
    <w:rsid w:val="0037362F"/>
    <w:rsid w:val="00376B27"/>
    <w:rsid w:val="003852DD"/>
    <w:rsid w:val="003856A9"/>
    <w:rsid w:val="00386131"/>
    <w:rsid w:val="00391B11"/>
    <w:rsid w:val="00393033"/>
    <w:rsid w:val="003960EB"/>
    <w:rsid w:val="0039789E"/>
    <w:rsid w:val="003A1DA5"/>
    <w:rsid w:val="003B7885"/>
    <w:rsid w:val="003C0E67"/>
    <w:rsid w:val="003C3617"/>
    <w:rsid w:val="003C57DE"/>
    <w:rsid w:val="003C6917"/>
    <w:rsid w:val="003D0348"/>
    <w:rsid w:val="003D263A"/>
    <w:rsid w:val="003E251B"/>
    <w:rsid w:val="003E447B"/>
    <w:rsid w:val="003F347A"/>
    <w:rsid w:val="004034DF"/>
    <w:rsid w:val="00411CD4"/>
    <w:rsid w:val="00415C35"/>
    <w:rsid w:val="00417A25"/>
    <w:rsid w:val="00417C52"/>
    <w:rsid w:val="004244DE"/>
    <w:rsid w:val="004250A9"/>
    <w:rsid w:val="0043186E"/>
    <w:rsid w:val="00436A46"/>
    <w:rsid w:val="00441F3B"/>
    <w:rsid w:val="00445534"/>
    <w:rsid w:val="0044583B"/>
    <w:rsid w:val="0046064C"/>
    <w:rsid w:val="00466446"/>
    <w:rsid w:val="004763CF"/>
    <w:rsid w:val="00481BCA"/>
    <w:rsid w:val="004834E2"/>
    <w:rsid w:val="004874F0"/>
    <w:rsid w:val="00491BDE"/>
    <w:rsid w:val="004A1516"/>
    <w:rsid w:val="004A2DA4"/>
    <w:rsid w:val="004A5434"/>
    <w:rsid w:val="004A748D"/>
    <w:rsid w:val="004B33B6"/>
    <w:rsid w:val="004C6E44"/>
    <w:rsid w:val="004D0AC8"/>
    <w:rsid w:val="004E10FB"/>
    <w:rsid w:val="004E4547"/>
    <w:rsid w:val="004F3B49"/>
    <w:rsid w:val="004F580B"/>
    <w:rsid w:val="00505D43"/>
    <w:rsid w:val="00506BF3"/>
    <w:rsid w:val="0051302C"/>
    <w:rsid w:val="00513F9E"/>
    <w:rsid w:val="00516DD3"/>
    <w:rsid w:val="0052075B"/>
    <w:rsid w:val="005211B7"/>
    <w:rsid w:val="005271AC"/>
    <w:rsid w:val="00535F48"/>
    <w:rsid w:val="00541CAA"/>
    <w:rsid w:val="00545916"/>
    <w:rsid w:val="005506F2"/>
    <w:rsid w:val="00554180"/>
    <w:rsid w:val="00555A7E"/>
    <w:rsid w:val="00555EE6"/>
    <w:rsid w:val="005655A8"/>
    <w:rsid w:val="005719C9"/>
    <w:rsid w:val="005777DE"/>
    <w:rsid w:val="005850FA"/>
    <w:rsid w:val="005858AE"/>
    <w:rsid w:val="005937FA"/>
    <w:rsid w:val="00597F5A"/>
    <w:rsid w:val="005A3648"/>
    <w:rsid w:val="005A4E08"/>
    <w:rsid w:val="005B08F6"/>
    <w:rsid w:val="005B0ED8"/>
    <w:rsid w:val="005B28D2"/>
    <w:rsid w:val="005B5104"/>
    <w:rsid w:val="005C2906"/>
    <w:rsid w:val="005C3F1C"/>
    <w:rsid w:val="005C41BE"/>
    <w:rsid w:val="005C5CFB"/>
    <w:rsid w:val="005D208D"/>
    <w:rsid w:val="005E042A"/>
    <w:rsid w:val="005E1F17"/>
    <w:rsid w:val="005E25A3"/>
    <w:rsid w:val="005E3E13"/>
    <w:rsid w:val="005F3400"/>
    <w:rsid w:val="005F3A29"/>
    <w:rsid w:val="00613792"/>
    <w:rsid w:val="0061668C"/>
    <w:rsid w:val="00635CE6"/>
    <w:rsid w:val="00641E6B"/>
    <w:rsid w:val="00643D4B"/>
    <w:rsid w:val="00654120"/>
    <w:rsid w:val="00661CA4"/>
    <w:rsid w:val="00662CCE"/>
    <w:rsid w:val="006813BF"/>
    <w:rsid w:val="0069602F"/>
    <w:rsid w:val="006A3CBD"/>
    <w:rsid w:val="006B0F2D"/>
    <w:rsid w:val="006B57D0"/>
    <w:rsid w:val="006C5945"/>
    <w:rsid w:val="006D49AB"/>
    <w:rsid w:val="006D4C42"/>
    <w:rsid w:val="006D72AF"/>
    <w:rsid w:val="006D7464"/>
    <w:rsid w:val="006E1EB7"/>
    <w:rsid w:val="006E47C3"/>
    <w:rsid w:val="006E7091"/>
    <w:rsid w:val="006F00A5"/>
    <w:rsid w:val="006F20B3"/>
    <w:rsid w:val="006F6470"/>
    <w:rsid w:val="0071007F"/>
    <w:rsid w:val="00713DA1"/>
    <w:rsid w:val="00722C83"/>
    <w:rsid w:val="00731756"/>
    <w:rsid w:val="00740B8A"/>
    <w:rsid w:val="00745F5A"/>
    <w:rsid w:val="00746A01"/>
    <w:rsid w:val="00751A3B"/>
    <w:rsid w:val="007545A4"/>
    <w:rsid w:val="00763EDB"/>
    <w:rsid w:val="00765008"/>
    <w:rsid w:val="00766A1D"/>
    <w:rsid w:val="00776FA3"/>
    <w:rsid w:val="00781876"/>
    <w:rsid w:val="007820A5"/>
    <w:rsid w:val="00783E49"/>
    <w:rsid w:val="00794FF9"/>
    <w:rsid w:val="00795636"/>
    <w:rsid w:val="00797C05"/>
    <w:rsid w:val="007A1186"/>
    <w:rsid w:val="007A2A11"/>
    <w:rsid w:val="007A4EF7"/>
    <w:rsid w:val="007C6372"/>
    <w:rsid w:val="007C6CB2"/>
    <w:rsid w:val="007D2143"/>
    <w:rsid w:val="007D68FA"/>
    <w:rsid w:val="007E0C74"/>
    <w:rsid w:val="007E209F"/>
    <w:rsid w:val="007E2230"/>
    <w:rsid w:val="007E4C43"/>
    <w:rsid w:val="007E6C74"/>
    <w:rsid w:val="007F0941"/>
    <w:rsid w:val="007F2832"/>
    <w:rsid w:val="008027BE"/>
    <w:rsid w:val="00806399"/>
    <w:rsid w:val="00810253"/>
    <w:rsid w:val="0081275F"/>
    <w:rsid w:val="00812D62"/>
    <w:rsid w:val="00825E52"/>
    <w:rsid w:val="00826FE8"/>
    <w:rsid w:val="00835F51"/>
    <w:rsid w:val="0084072C"/>
    <w:rsid w:val="00840CC0"/>
    <w:rsid w:val="00842E99"/>
    <w:rsid w:val="00844B82"/>
    <w:rsid w:val="00864191"/>
    <w:rsid w:val="00870CEE"/>
    <w:rsid w:val="008759EA"/>
    <w:rsid w:val="00875F52"/>
    <w:rsid w:val="00877AB8"/>
    <w:rsid w:val="00885C10"/>
    <w:rsid w:val="00887802"/>
    <w:rsid w:val="0089652A"/>
    <w:rsid w:val="00896DCD"/>
    <w:rsid w:val="008A0438"/>
    <w:rsid w:val="008A3FFD"/>
    <w:rsid w:val="008B399F"/>
    <w:rsid w:val="008B470F"/>
    <w:rsid w:val="008B5F2C"/>
    <w:rsid w:val="008C1145"/>
    <w:rsid w:val="008C5A9A"/>
    <w:rsid w:val="008D0A35"/>
    <w:rsid w:val="008D6990"/>
    <w:rsid w:val="008E08FA"/>
    <w:rsid w:val="008E0B4A"/>
    <w:rsid w:val="008E3FB2"/>
    <w:rsid w:val="008F175A"/>
    <w:rsid w:val="008F271E"/>
    <w:rsid w:val="008F45C2"/>
    <w:rsid w:val="008F538B"/>
    <w:rsid w:val="00903C1D"/>
    <w:rsid w:val="0090543C"/>
    <w:rsid w:val="009055D6"/>
    <w:rsid w:val="00911942"/>
    <w:rsid w:val="00911F36"/>
    <w:rsid w:val="00913689"/>
    <w:rsid w:val="009204EC"/>
    <w:rsid w:val="009317EA"/>
    <w:rsid w:val="009457DA"/>
    <w:rsid w:val="00952E05"/>
    <w:rsid w:val="00953136"/>
    <w:rsid w:val="0095487D"/>
    <w:rsid w:val="00962EE5"/>
    <w:rsid w:val="00963F9B"/>
    <w:rsid w:val="00970DD6"/>
    <w:rsid w:val="00971BE9"/>
    <w:rsid w:val="0098300E"/>
    <w:rsid w:val="00983B48"/>
    <w:rsid w:val="009878A8"/>
    <w:rsid w:val="0099274B"/>
    <w:rsid w:val="00994513"/>
    <w:rsid w:val="009962B5"/>
    <w:rsid w:val="009A0190"/>
    <w:rsid w:val="009A2382"/>
    <w:rsid w:val="009B1938"/>
    <w:rsid w:val="009B37C2"/>
    <w:rsid w:val="009B6256"/>
    <w:rsid w:val="009C387E"/>
    <w:rsid w:val="009D17A7"/>
    <w:rsid w:val="009E1C8D"/>
    <w:rsid w:val="009E2181"/>
    <w:rsid w:val="009E4F80"/>
    <w:rsid w:val="00A05E7B"/>
    <w:rsid w:val="00A458C1"/>
    <w:rsid w:val="00A56936"/>
    <w:rsid w:val="00A61B23"/>
    <w:rsid w:val="00A70278"/>
    <w:rsid w:val="00A90799"/>
    <w:rsid w:val="00A919E2"/>
    <w:rsid w:val="00A9723C"/>
    <w:rsid w:val="00AA7927"/>
    <w:rsid w:val="00AB0802"/>
    <w:rsid w:val="00AB27E7"/>
    <w:rsid w:val="00AC04F1"/>
    <w:rsid w:val="00AC30DF"/>
    <w:rsid w:val="00AC6189"/>
    <w:rsid w:val="00AC6BDF"/>
    <w:rsid w:val="00AE0502"/>
    <w:rsid w:val="00AE78F1"/>
    <w:rsid w:val="00AF5386"/>
    <w:rsid w:val="00AF589F"/>
    <w:rsid w:val="00B0299F"/>
    <w:rsid w:val="00B07D15"/>
    <w:rsid w:val="00B227CA"/>
    <w:rsid w:val="00B31257"/>
    <w:rsid w:val="00B413D5"/>
    <w:rsid w:val="00B421FE"/>
    <w:rsid w:val="00B53C96"/>
    <w:rsid w:val="00B55D0F"/>
    <w:rsid w:val="00B61444"/>
    <w:rsid w:val="00B626D0"/>
    <w:rsid w:val="00B64768"/>
    <w:rsid w:val="00B65BDE"/>
    <w:rsid w:val="00B66D6A"/>
    <w:rsid w:val="00B679A1"/>
    <w:rsid w:val="00B70466"/>
    <w:rsid w:val="00B728BD"/>
    <w:rsid w:val="00B73E51"/>
    <w:rsid w:val="00B759DB"/>
    <w:rsid w:val="00B829A4"/>
    <w:rsid w:val="00B873FB"/>
    <w:rsid w:val="00B92943"/>
    <w:rsid w:val="00B956C1"/>
    <w:rsid w:val="00BA34D2"/>
    <w:rsid w:val="00BB3A9C"/>
    <w:rsid w:val="00BB6BA4"/>
    <w:rsid w:val="00BB7A8F"/>
    <w:rsid w:val="00BE5331"/>
    <w:rsid w:val="00BF5D07"/>
    <w:rsid w:val="00C029A1"/>
    <w:rsid w:val="00C106CE"/>
    <w:rsid w:val="00C14D83"/>
    <w:rsid w:val="00C16EE3"/>
    <w:rsid w:val="00C16FC7"/>
    <w:rsid w:val="00C25026"/>
    <w:rsid w:val="00C2531C"/>
    <w:rsid w:val="00C300DE"/>
    <w:rsid w:val="00C326BE"/>
    <w:rsid w:val="00C34BE9"/>
    <w:rsid w:val="00C40B69"/>
    <w:rsid w:val="00C4392E"/>
    <w:rsid w:val="00C513F4"/>
    <w:rsid w:val="00C5222B"/>
    <w:rsid w:val="00C54181"/>
    <w:rsid w:val="00C63433"/>
    <w:rsid w:val="00C713F7"/>
    <w:rsid w:val="00C772FB"/>
    <w:rsid w:val="00C874A9"/>
    <w:rsid w:val="00CA036E"/>
    <w:rsid w:val="00CA1495"/>
    <w:rsid w:val="00CA2820"/>
    <w:rsid w:val="00CA5DCA"/>
    <w:rsid w:val="00CA5EF6"/>
    <w:rsid w:val="00CB1401"/>
    <w:rsid w:val="00CB4BEF"/>
    <w:rsid w:val="00CC1390"/>
    <w:rsid w:val="00CC2031"/>
    <w:rsid w:val="00CC3B18"/>
    <w:rsid w:val="00CD1FB1"/>
    <w:rsid w:val="00CD5B57"/>
    <w:rsid w:val="00CD7812"/>
    <w:rsid w:val="00CD7A7A"/>
    <w:rsid w:val="00CE0513"/>
    <w:rsid w:val="00CE50A3"/>
    <w:rsid w:val="00CE5B9D"/>
    <w:rsid w:val="00CF1F08"/>
    <w:rsid w:val="00CF1FCB"/>
    <w:rsid w:val="00CF47E7"/>
    <w:rsid w:val="00D019A1"/>
    <w:rsid w:val="00D02C37"/>
    <w:rsid w:val="00D15B89"/>
    <w:rsid w:val="00D15BF0"/>
    <w:rsid w:val="00D249A5"/>
    <w:rsid w:val="00D31BE5"/>
    <w:rsid w:val="00D338D1"/>
    <w:rsid w:val="00D50B9A"/>
    <w:rsid w:val="00D51424"/>
    <w:rsid w:val="00D543FA"/>
    <w:rsid w:val="00D723CA"/>
    <w:rsid w:val="00D84430"/>
    <w:rsid w:val="00D902BA"/>
    <w:rsid w:val="00D92A50"/>
    <w:rsid w:val="00D97498"/>
    <w:rsid w:val="00D97A80"/>
    <w:rsid w:val="00DA1BD2"/>
    <w:rsid w:val="00DB030A"/>
    <w:rsid w:val="00DB0419"/>
    <w:rsid w:val="00DC3CA3"/>
    <w:rsid w:val="00DD458F"/>
    <w:rsid w:val="00DD5061"/>
    <w:rsid w:val="00DD5B0C"/>
    <w:rsid w:val="00DE2ACA"/>
    <w:rsid w:val="00DF3C36"/>
    <w:rsid w:val="00DF4500"/>
    <w:rsid w:val="00E03B7E"/>
    <w:rsid w:val="00E0700D"/>
    <w:rsid w:val="00E125EC"/>
    <w:rsid w:val="00E20B94"/>
    <w:rsid w:val="00E27EF0"/>
    <w:rsid w:val="00E3394E"/>
    <w:rsid w:val="00E3489E"/>
    <w:rsid w:val="00E41BB8"/>
    <w:rsid w:val="00E42116"/>
    <w:rsid w:val="00E52DD8"/>
    <w:rsid w:val="00E54ED1"/>
    <w:rsid w:val="00E55A2A"/>
    <w:rsid w:val="00E626F3"/>
    <w:rsid w:val="00E70C55"/>
    <w:rsid w:val="00E74BC8"/>
    <w:rsid w:val="00E77F9F"/>
    <w:rsid w:val="00E8085B"/>
    <w:rsid w:val="00E90F18"/>
    <w:rsid w:val="00EA32B4"/>
    <w:rsid w:val="00EA36C7"/>
    <w:rsid w:val="00EA6B0B"/>
    <w:rsid w:val="00EB2F29"/>
    <w:rsid w:val="00EC76DE"/>
    <w:rsid w:val="00ED3D80"/>
    <w:rsid w:val="00ED67C8"/>
    <w:rsid w:val="00EE0A52"/>
    <w:rsid w:val="00EE3B12"/>
    <w:rsid w:val="00EE4D96"/>
    <w:rsid w:val="00F10EDC"/>
    <w:rsid w:val="00F1623B"/>
    <w:rsid w:val="00F16543"/>
    <w:rsid w:val="00F23BE4"/>
    <w:rsid w:val="00F34962"/>
    <w:rsid w:val="00F40B78"/>
    <w:rsid w:val="00F54CF7"/>
    <w:rsid w:val="00F554A8"/>
    <w:rsid w:val="00F55A88"/>
    <w:rsid w:val="00F64E0F"/>
    <w:rsid w:val="00F650A7"/>
    <w:rsid w:val="00F7293D"/>
    <w:rsid w:val="00F72D4D"/>
    <w:rsid w:val="00F774CC"/>
    <w:rsid w:val="00F8173A"/>
    <w:rsid w:val="00F8325E"/>
    <w:rsid w:val="00F8508C"/>
    <w:rsid w:val="00F914C1"/>
    <w:rsid w:val="00FA5C5A"/>
    <w:rsid w:val="00FB0EFD"/>
    <w:rsid w:val="00FB1322"/>
    <w:rsid w:val="00FB2AF0"/>
    <w:rsid w:val="00FB7445"/>
    <w:rsid w:val="00FC6E0E"/>
    <w:rsid w:val="00FD1941"/>
    <w:rsid w:val="00FD490A"/>
    <w:rsid w:val="00FD56A8"/>
    <w:rsid w:val="00FF27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A6CA00"/>
  <w15:chartTrackingRefBased/>
  <w15:docId w15:val="{5E8AA43B-0153-4150-83E7-B9A6DA115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ADB Normal,Liste Paragraf,Colorful List - Accent 11,PDP DOCUMENT SUBTITLE,Liststycke SKL,Normal bullet 2,Bullet list,Table of contents numbered,En tête 1,Foot note,Paragraphe de liste PBLH"/>
    <w:basedOn w:val="Normal"/>
    <w:link w:val="ListParagraphChar"/>
    <w:uiPriority w:val="34"/>
    <w:qFormat/>
    <w:rsid w:val="00DB030A"/>
    <w:pPr>
      <w:ind w:left="720"/>
      <w:contextualSpacing/>
    </w:pPr>
  </w:style>
  <w:style w:type="paragraph" w:customStyle="1" w:styleId="Default">
    <w:name w:val="Default"/>
    <w:rsid w:val="00CA1495"/>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CA1495"/>
    <w:rPr>
      <w:b/>
      <w:bCs/>
    </w:rPr>
  </w:style>
  <w:style w:type="paragraph" w:styleId="NormalWeb">
    <w:name w:val="Normal (Web)"/>
    <w:basedOn w:val="Normal"/>
    <w:uiPriority w:val="99"/>
    <w:semiHidden/>
    <w:unhideWhenUsed/>
    <w:rsid w:val="00CA1495"/>
    <w:pPr>
      <w:spacing w:before="90" w:after="90" w:line="384" w:lineRule="atLeast"/>
      <w:ind w:left="120" w:right="120"/>
    </w:pPr>
    <w:rPr>
      <w:rFonts w:ascii="Times New Roman" w:eastAsia="Times New Roman" w:hAnsi="Times New Roman" w:cs="Times New Roman"/>
      <w:sz w:val="26"/>
      <w:szCs w:val="26"/>
      <w:lang w:eastAsia="en-GB"/>
    </w:rPr>
  </w:style>
  <w:style w:type="table" w:styleId="TableGrid">
    <w:name w:val="Table Grid"/>
    <w:basedOn w:val="TableNormal"/>
    <w:uiPriority w:val="39"/>
    <w:rsid w:val="00AC30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053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5309"/>
    <w:rPr>
      <w:rFonts w:ascii="Segoe UI" w:hAnsi="Segoe UI" w:cs="Segoe UI"/>
      <w:sz w:val="18"/>
      <w:szCs w:val="18"/>
    </w:rPr>
  </w:style>
  <w:style w:type="character" w:customStyle="1" w:styleId="ListParagraphChar">
    <w:name w:val="List Paragraph Char"/>
    <w:aliases w:val="List_Paragraph Char,Multilevel para_II Char,ADB Normal Char,Liste Paragraf Char,Colorful List - Accent 11 Char,PDP DOCUMENT SUBTITLE Char,Liststycke SKL Char,Normal bullet 2 Char,Bullet list Char,Table of contents numbered Char"/>
    <w:basedOn w:val="DefaultParagraphFont"/>
    <w:link w:val="ListParagraph"/>
    <w:uiPriority w:val="34"/>
    <w:qFormat/>
    <w:locked/>
    <w:rsid w:val="000165DC"/>
  </w:style>
  <w:style w:type="character" w:styleId="CommentReference">
    <w:name w:val="annotation reference"/>
    <w:basedOn w:val="DefaultParagraphFont"/>
    <w:uiPriority w:val="99"/>
    <w:semiHidden/>
    <w:unhideWhenUsed/>
    <w:rsid w:val="005211B7"/>
    <w:rPr>
      <w:sz w:val="16"/>
      <w:szCs w:val="16"/>
    </w:rPr>
  </w:style>
  <w:style w:type="paragraph" w:styleId="CommentText">
    <w:name w:val="annotation text"/>
    <w:basedOn w:val="Normal"/>
    <w:link w:val="CommentTextChar"/>
    <w:uiPriority w:val="99"/>
    <w:semiHidden/>
    <w:unhideWhenUsed/>
    <w:rsid w:val="005211B7"/>
    <w:pPr>
      <w:spacing w:line="240" w:lineRule="auto"/>
    </w:pPr>
    <w:rPr>
      <w:sz w:val="20"/>
      <w:szCs w:val="20"/>
    </w:rPr>
  </w:style>
  <w:style w:type="character" w:customStyle="1" w:styleId="CommentTextChar">
    <w:name w:val="Comment Text Char"/>
    <w:basedOn w:val="DefaultParagraphFont"/>
    <w:link w:val="CommentText"/>
    <w:uiPriority w:val="99"/>
    <w:semiHidden/>
    <w:rsid w:val="005211B7"/>
    <w:rPr>
      <w:sz w:val="20"/>
      <w:szCs w:val="20"/>
    </w:rPr>
  </w:style>
  <w:style w:type="paragraph" w:styleId="CommentSubject">
    <w:name w:val="annotation subject"/>
    <w:basedOn w:val="CommentText"/>
    <w:next w:val="CommentText"/>
    <w:link w:val="CommentSubjectChar"/>
    <w:uiPriority w:val="99"/>
    <w:semiHidden/>
    <w:unhideWhenUsed/>
    <w:rsid w:val="005211B7"/>
    <w:rPr>
      <w:b/>
      <w:bCs/>
    </w:rPr>
  </w:style>
  <w:style w:type="character" w:customStyle="1" w:styleId="CommentSubjectChar">
    <w:name w:val="Comment Subject Char"/>
    <w:basedOn w:val="CommentTextChar"/>
    <w:link w:val="CommentSubject"/>
    <w:uiPriority w:val="99"/>
    <w:semiHidden/>
    <w:rsid w:val="005211B7"/>
    <w:rPr>
      <w:b/>
      <w:bCs/>
      <w:sz w:val="20"/>
      <w:szCs w:val="20"/>
    </w:rPr>
  </w:style>
  <w:style w:type="paragraph" w:styleId="Header">
    <w:name w:val="header"/>
    <w:basedOn w:val="Normal"/>
    <w:link w:val="HeaderChar"/>
    <w:uiPriority w:val="99"/>
    <w:unhideWhenUsed/>
    <w:rsid w:val="001F668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68F"/>
  </w:style>
  <w:style w:type="paragraph" w:styleId="Footer">
    <w:name w:val="footer"/>
    <w:basedOn w:val="Normal"/>
    <w:link w:val="FooterChar"/>
    <w:uiPriority w:val="99"/>
    <w:unhideWhenUsed/>
    <w:rsid w:val="001F668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68F"/>
  </w:style>
  <w:style w:type="character" w:customStyle="1" w:styleId="Bodytext26ptBold">
    <w:name w:val="Body text|2 + 6 pt;Bold"/>
    <w:basedOn w:val="DefaultParagraphFont"/>
    <w:semiHidden/>
    <w:unhideWhenUsed/>
    <w:rsid w:val="006E47C3"/>
    <w:rPr>
      <w:rFonts w:ascii="Arial" w:eastAsia="Arial" w:hAnsi="Arial" w:cs="Arial"/>
      <w:b/>
      <w:bCs/>
      <w:i w:val="0"/>
      <w:iCs w:val="0"/>
      <w:smallCaps w:val="0"/>
      <w:strike w:val="0"/>
      <w:color w:val="000000"/>
      <w:spacing w:val="0"/>
      <w:w w:val="100"/>
      <w:position w:val="0"/>
      <w:sz w:val="12"/>
      <w:szCs w:val="12"/>
      <w:u w:val="none"/>
      <w:lang w:val="en" w:eastAsia="cs-CZ" w:bidi="cs-CZ"/>
    </w:rPr>
  </w:style>
  <w:style w:type="character" w:customStyle="1" w:styleId="Bodytext26pt">
    <w:name w:val="Body text|2 + 6 pt"/>
    <w:basedOn w:val="DefaultParagraphFont"/>
    <w:semiHidden/>
    <w:unhideWhenUsed/>
    <w:rsid w:val="006E47C3"/>
    <w:rPr>
      <w:rFonts w:ascii="Arial" w:eastAsia="Arial" w:hAnsi="Arial" w:cs="Arial"/>
      <w:b w:val="0"/>
      <w:bCs w:val="0"/>
      <w:i w:val="0"/>
      <w:iCs w:val="0"/>
      <w:smallCaps w:val="0"/>
      <w:strike w:val="0"/>
      <w:color w:val="000000"/>
      <w:spacing w:val="0"/>
      <w:w w:val="100"/>
      <w:position w:val="0"/>
      <w:sz w:val="12"/>
      <w:szCs w:val="12"/>
      <w:u w:val="none"/>
      <w:lang w:val="en" w:eastAsia="cs-CZ" w:bidi="cs-CZ"/>
    </w:rPr>
  </w:style>
  <w:style w:type="paragraph" w:styleId="FootnoteText">
    <w:name w:val="footnote text"/>
    <w:basedOn w:val="Normal"/>
    <w:link w:val="FootnoteTextChar"/>
    <w:uiPriority w:val="99"/>
    <w:semiHidden/>
    <w:unhideWhenUsed/>
    <w:rsid w:val="00B728B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28BD"/>
    <w:rPr>
      <w:sz w:val="20"/>
      <w:szCs w:val="20"/>
    </w:rPr>
  </w:style>
  <w:style w:type="character" w:styleId="FootnoteReference">
    <w:name w:val="footnote reference"/>
    <w:basedOn w:val="DefaultParagraphFont"/>
    <w:uiPriority w:val="99"/>
    <w:semiHidden/>
    <w:unhideWhenUsed/>
    <w:rsid w:val="00B728BD"/>
    <w:rPr>
      <w:vertAlign w:val="superscript"/>
    </w:rPr>
  </w:style>
  <w:style w:type="character" w:customStyle="1" w:styleId="Bodytext2">
    <w:name w:val="Body text|2_"/>
    <w:basedOn w:val="DefaultParagraphFont"/>
    <w:link w:val="Bodytext20"/>
    <w:rsid w:val="00B728BD"/>
    <w:rPr>
      <w:rFonts w:ascii="Arial" w:eastAsia="Arial" w:hAnsi="Arial" w:cs="Arial"/>
      <w:sz w:val="13"/>
      <w:szCs w:val="13"/>
      <w:shd w:val="clear" w:color="auto" w:fill="FFFFFF"/>
    </w:rPr>
  </w:style>
  <w:style w:type="paragraph" w:customStyle="1" w:styleId="Bodytext20">
    <w:name w:val="Body text|2"/>
    <w:basedOn w:val="Normal"/>
    <w:link w:val="Bodytext2"/>
    <w:qFormat/>
    <w:rsid w:val="00B728BD"/>
    <w:pPr>
      <w:widowControl w:val="0"/>
      <w:shd w:val="clear" w:color="auto" w:fill="FFFFFF"/>
      <w:spacing w:after="0" w:line="146" w:lineRule="exact"/>
    </w:pPr>
    <w:rPr>
      <w:rFonts w:ascii="Arial" w:eastAsia="Arial" w:hAnsi="Arial" w:cs="Arial"/>
      <w:sz w:val="13"/>
      <w:szCs w:val="1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584874">
      <w:bodyDiv w:val="1"/>
      <w:marLeft w:val="0"/>
      <w:marRight w:val="0"/>
      <w:marTop w:val="0"/>
      <w:marBottom w:val="0"/>
      <w:divBdr>
        <w:top w:val="none" w:sz="0" w:space="0" w:color="auto"/>
        <w:left w:val="none" w:sz="0" w:space="0" w:color="auto"/>
        <w:bottom w:val="none" w:sz="0" w:space="0" w:color="auto"/>
        <w:right w:val="none" w:sz="0" w:space="0" w:color="auto"/>
      </w:divBdr>
    </w:div>
    <w:div w:id="768738097">
      <w:bodyDiv w:val="1"/>
      <w:marLeft w:val="0"/>
      <w:marRight w:val="0"/>
      <w:marTop w:val="0"/>
      <w:marBottom w:val="0"/>
      <w:divBdr>
        <w:top w:val="none" w:sz="0" w:space="0" w:color="auto"/>
        <w:left w:val="none" w:sz="0" w:space="0" w:color="auto"/>
        <w:bottom w:val="none" w:sz="0" w:space="0" w:color="auto"/>
        <w:right w:val="none" w:sz="0" w:space="0" w:color="auto"/>
      </w:divBdr>
      <w:divsChild>
        <w:div w:id="1234781976">
          <w:marLeft w:val="0"/>
          <w:marRight w:val="0"/>
          <w:marTop w:val="0"/>
          <w:marBottom w:val="0"/>
          <w:divBdr>
            <w:top w:val="none" w:sz="0" w:space="0" w:color="auto"/>
            <w:left w:val="none" w:sz="0" w:space="0" w:color="auto"/>
            <w:bottom w:val="none" w:sz="0" w:space="0" w:color="auto"/>
            <w:right w:val="none" w:sz="0" w:space="0" w:color="auto"/>
          </w:divBdr>
          <w:divsChild>
            <w:div w:id="1591347389">
              <w:marLeft w:val="0"/>
              <w:marRight w:val="0"/>
              <w:marTop w:val="0"/>
              <w:marBottom w:val="0"/>
              <w:divBdr>
                <w:top w:val="none" w:sz="0" w:space="0" w:color="auto"/>
                <w:left w:val="none" w:sz="0" w:space="0" w:color="auto"/>
                <w:bottom w:val="none" w:sz="0" w:space="0" w:color="auto"/>
                <w:right w:val="none" w:sz="0" w:space="0" w:color="auto"/>
              </w:divBdr>
              <w:divsChild>
                <w:div w:id="1099712596">
                  <w:marLeft w:val="0"/>
                  <w:marRight w:val="0"/>
                  <w:marTop w:val="0"/>
                  <w:marBottom w:val="0"/>
                  <w:divBdr>
                    <w:top w:val="none" w:sz="0" w:space="0" w:color="auto"/>
                    <w:left w:val="none" w:sz="0" w:space="0" w:color="auto"/>
                    <w:bottom w:val="none" w:sz="0" w:space="0" w:color="auto"/>
                    <w:right w:val="none" w:sz="0" w:space="0" w:color="auto"/>
                  </w:divBdr>
                  <w:divsChild>
                    <w:div w:id="1446652489">
                      <w:marLeft w:val="0"/>
                      <w:marRight w:val="0"/>
                      <w:marTop w:val="0"/>
                      <w:marBottom w:val="0"/>
                      <w:divBdr>
                        <w:top w:val="none" w:sz="0" w:space="0" w:color="auto"/>
                        <w:left w:val="none" w:sz="0" w:space="0" w:color="auto"/>
                        <w:bottom w:val="none" w:sz="0" w:space="0" w:color="auto"/>
                        <w:right w:val="none" w:sz="0" w:space="0" w:color="auto"/>
                      </w:divBdr>
                      <w:divsChild>
                        <w:div w:id="1759597045">
                          <w:marLeft w:val="0"/>
                          <w:marRight w:val="0"/>
                          <w:marTop w:val="0"/>
                          <w:marBottom w:val="0"/>
                          <w:divBdr>
                            <w:top w:val="none" w:sz="0" w:space="0" w:color="auto"/>
                            <w:left w:val="none" w:sz="0" w:space="0" w:color="auto"/>
                            <w:bottom w:val="none" w:sz="0" w:space="0" w:color="auto"/>
                            <w:right w:val="none" w:sz="0" w:space="0" w:color="auto"/>
                          </w:divBdr>
                          <w:divsChild>
                            <w:div w:id="1603222835">
                              <w:marLeft w:val="0"/>
                              <w:marRight w:val="300"/>
                              <w:marTop w:val="180"/>
                              <w:marBottom w:val="0"/>
                              <w:divBdr>
                                <w:top w:val="none" w:sz="0" w:space="0" w:color="auto"/>
                                <w:left w:val="none" w:sz="0" w:space="0" w:color="auto"/>
                                <w:bottom w:val="none" w:sz="0" w:space="0" w:color="auto"/>
                                <w:right w:val="none" w:sz="0" w:space="0" w:color="auto"/>
                              </w:divBdr>
                              <w:divsChild>
                                <w:div w:id="14274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0598090">
          <w:marLeft w:val="0"/>
          <w:marRight w:val="0"/>
          <w:marTop w:val="0"/>
          <w:marBottom w:val="0"/>
          <w:divBdr>
            <w:top w:val="none" w:sz="0" w:space="0" w:color="auto"/>
            <w:left w:val="none" w:sz="0" w:space="0" w:color="auto"/>
            <w:bottom w:val="none" w:sz="0" w:space="0" w:color="auto"/>
            <w:right w:val="none" w:sz="0" w:space="0" w:color="auto"/>
          </w:divBdr>
          <w:divsChild>
            <w:div w:id="1979144413">
              <w:marLeft w:val="0"/>
              <w:marRight w:val="0"/>
              <w:marTop w:val="0"/>
              <w:marBottom w:val="0"/>
              <w:divBdr>
                <w:top w:val="none" w:sz="0" w:space="0" w:color="auto"/>
                <w:left w:val="none" w:sz="0" w:space="0" w:color="auto"/>
                <w:bottom w:val="none" w:sz="0" w:space="0" w:color="auto"/>
                <w:right w:val="none" w:sz="0" w:space="0" w:color="auto"/>
              </w:divBdr>
              <w:divsChild>
                <w:div w:id="740911151">
                  <w:marLeft w:val="0"/>
                  <w:marRight w:val="0"/>
                  <w:marTop w:val="0"/>
                  <w:marBottom w:val="0"/>
                  <w:divBdr>
                    <w:top w:val="none" w:sz="0" w:space="0" w:color="auto"/>
                    <w:left w:val="none" w:sz="0" w:space="0" w:color="auto"/>
                    <w:bottom w:val="none" w:sz="0" w:space="0" w:color="auto"/>
                    <w:right w:val="none" w:sz="0" w:space="0" w:color="auto"/>
                  </w:divBdr>
                  <w:divsChild>
                    <w:div w:id="1741440116">
                      <w:marLeft w:val="0"/>
                      <w:marRight w:val="0"/>
                      <w:marTop w:val="0"/>
                      <w:marBottom w:val="0"/>
                      <w:divBdr>
                        <w:top w:val="none" w:sz="0" w:space="0" w:color="auto"/>
                        <w:left w:val="none" w:sz="0" w:space="0" w:color="auto"/>
                        <w:bottom w:val="none" w:sz="0" w:space="0" w:color="auto"/>
                        <w:right w:val="none" w:sz="0" w:space="0" w:color="auto"/>
                      </w:divBdr>
                      <w:divsChild>
                        <w:div w:id="194283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3602637">
      <w:bodyDiv w:val="1"/>
      <w:marLeft w:val="0"/>
      <w:marRight w:val="0"/>
      <w:marTop w:val="0"/>
      <w:marBottom w:val="0"/>
      <w:divBdr>
        <w:top w:val="none" w:sz="0" w:space="0" w:color="auto"/>
        <w:left w:val="none" w:sz="0" w:space="0" w:color="auto"/>
        <w:bottom w:val="none" w:sz="0" w:space="0" w:color="auto"/>
        <w:right w:val="none" w:sz="0" w:space="0" w:color="auto"/>
      </w:divBdr>
    </w:div>
    <w:div w:id="1256749362">
      <w:bodyDiv w:val="1"/>
      <w:marLeft w:val="0"/>
      <w:marRight w:val="0"/>
      <w:marTop w:val="0"/>
      <w:marBottom w:val="0"/>
      <w:divBdr>
        <w:top w:val="none" w:sz="0" w:space="0" w:color="auto"/>
        <w:left w:val="none" w:sz="0" w:space="0" w:color="auto"/>
        <w:bottom w:val="none" w:sz="0" w:space="0" w:color="auto"/>
        <w:right w:val="none" w:sz="0" w:space="0" w:color="auto"/>
      </w:divBdr>
    </w:div>
    <w:div w:id="1409041054">
      <w:bodyDiv w:val="1"/>
      <w:marLeft w:val="0"/>
      <w:marRight w:val="0"/>
      <w:marTop w:val="0"/>
      <w:marBottom w:val="0"/>
      <w:divBdr>
        <w:top w:val="none" w:sz="0" w:space="0" w:color="auto"/>
        <w:left w:val="none" w:sz="0" w:space="0" w:color="auto"/>
        <w:bottom w:val="none" w:sz="0" w:space="0" w:color="auto"/>
        <w:right w:val="none" w:sz="0" w:space="0" w:color="auto"/>
      </w:divBdr>
    </w:div>
    <w:div w:id="1711149416">
      <w:bodyDiv w:val="1"/>
      <w:marLeft w:val="0"/>
      <w:marRight w:val="0"/>
      <w:marTop w:val="0"/>
      <w:marBottom w:val="0"/>
      <w:divBdr>
        <w:top w:val="none" w:sz="0" w:space="0" w:color="auto"/>
        <w:left w:val="none" w:sz="0" w:space="0" w:color="auto"/>
        <w:bottom w:val="none" w:sz="0" w:space="0" w:color="auto"/>
        <w:right w:val="none" w:sz="0" w:space="0" w:color="auto"/>
      </w:divBdr>
      <w:divsChild>
        <w:div w:id="203953376">
          <w:marLeft w:val="0"/>
          <w:marRight w:val="0"/>
          <w:marTop w:val="0"/>
          <w:marBottom w:val="0"/>
          <w:divBdr>
            <w:top w:val="none" w:sz="0" w:space="0" w:color="auto"/>
            <w:left w:val="single" w:sz="6" w:space="15" w:color="B4B4B4"/>
            <w:bottom w:val="single" w:sz="6" w:space="0" w:color="B4B4B4"/>
            <w:right w:val="single" w:sz="6" w:space="15" w:color="B4B4B4"/>
          </w:divBdr>
          <w:divsChild>
            <w:div w:id="657851292">
              <w:marLeft w:val="0"/>
              <w:marRight w:val="0"/>
              <w:marTop w:val="0"/>
              <w:marBottom w:val="0"/>
              <w:divBdr>
                <w:top w:val="none" w:sz="0" w:space="0" w:color="auto"/>
                <w:left w:val="none" w:sz="0" w:space="0" w:color="auto"/>
                <w:bottom w:val="none" w:sz="0" w:space="0" w:color="auto"/>
                <w:right w:val="none" w:sz="0" w:space="0" w:color="auto"/>
              </w:divBdr>
              <w:divsChild>
                <w:div w:id="1292246990">
                  <w:marLeft w:val="-300"/>
                  <w:marRight w:val="0"/>
                  <w:marTop w:val="0"/>
                  <w:marBottom w:val="0"/>
                  <w:divBdr>
                    <w:top w:val="none" w:sz="0" w:space="0" w:color="auto"/>
                    <w:left w:val="none" w:sz="0" w:space="0" w:color="auto"/>
                    <w:bottom w:val="none" w:sz="0" w:space="0" w:color="auto"/>
                    <w:right w:val="none" w:sz="0" w:space="0" w:color="auto"/>
                  </w:divBdr>
                  <w:divsChild>
                    <w:div w:id="26564813">
                      <w:marLeft w:val="0"/>
                      <w:marRight w:val="0"/>
                      <w:marTop w:val="0"/>
                      <w:marBottom w:val="0"/>
                      <w:divBdr>
                        <w:top w:val="none" w:sz="0" w:space="0" w:color="auto"/>
                        <w:left w:val="none" w:sz="0" w:space="0" w:color="auto"/>
                        <w:bottom w:val="none" w:sz="0" w:space="0" w:color="auto"/>
                        <w:right w:val="none" w:sz="0" w:space="0" w:color="auto"/>
                      </w:divBdr>
                      <w:divsChild>
                        <w:div w:id="772286333">
                          <w:marLeft w:val="-300"/>
                          <w:marRight w:val="0"/>
                          <w:marTop w:val="0"/>
                          <w:marBottom w:val="0"/>
                          <w:divBdr>
                            <w:top w:val="none" w:sz="0" w:space="0" w:color="auto"/>
                            <w:left w:val="none" w:sz="0" w:space="0" w:color="auto"/>
                            <w:bottom w:val="none" w:sz="0" w:space="0" w:color="auto"/>
                            <w:right w:val="none" w:sz="0" w:space="0" w:color="auto"/>
                          </w:divBdr>
                          <w:divsChild>
                            <w:div w:id="604190528">
                              <w:marLeft w:val="0"/>
                              <w:marRight w:val="120"/>
                              <w:marTop w:val="120"/>
                              <w:marBottom w:val="120"/>
                              <w:divBdr>
                                <w:top w:val="single" w:sz="6" w:space="4" w:color="E8E8E8"/>
                                <w:left w:val="single" w:sz="6" w:space="0" w:color="E8E8E8"/>
                                <w:bottom w:val="single" w:sz="6" w:space="31" w:color="E8E8E8"/>
                                <w:right w:val="single" w:sz="6" w:space="0" w:color="E8E8E8"/>
                              </w:divBdr>
                            </w:div>
                          </w:divsChild>
                        </w:div>
                      </w:divsChild>
                    </w:div>
                  </w:divsChild>
                </w:div>
              </w:divsChild>
            </w:div>
          </w:divsChild>
        </w:div>
      </w:divsChild>
    </w:div>
    <w:div w:id="1888106663">
      <w:bodyDiv w:val="1"/>
      <w:marLeft w:val="0"/>
      <w:marRight w:val="0"/>
      <w:marTop w:val="0"/>
      <w:marBottom w:val="0"/>
      <w:divBdr>
        <w:top w:val="none" w:sz="0" w:space="0" w:color="auto"/>
        <w:left w:val="none" w:sz="0" w:space="0" w:color="auto"/>
        <w:bottom w:val="none" w:sz="0" w:space="0" w:color="auto"/>
        <w:right w:val="none" w:sz="0" w:space="0" w:color="auto"/>
      </w:divBdr>
      <w:divsChild>
        <w:div w:id="1843474589">
          <w:marLeft w:val="0"/>
          <w:marRight w:val="0"/>
          <w:marTop w:val="0"/>
          <w:marBottom w:val="0"/>
          <w:divBdr>
            <w:top w:val="none" w:sz="0" w:space="0" w:color="auto"/>
            <w:left w:val="none" w:sz="0" w:space="0" w:color="auto"/>
            <w:bottom w:val="none" w:sz="0" w:space="0" w:color="auto"/>
            <w:right w:val="none" w:sz="0" w:space="0" w:color="auto"/>
          </w:divBdr>
          <w:divsChild>
            <w:div w:id="587932283">
              <w:marLeft w:val="0"/>
              <w:marRight w:val="0"/>
              <w:marTop w:val="0"/>
              <w:marBottom w:val="0"/>
              <w:divBdr>
                <w:top w:val="none" w:sz="0" w:space="0" w:color="auto"/>
                <w:left w:val="none" w:sz="0" w:space="0" w:color="auto"/>
                <w:bottom w:val="none" w:sz="0" w:space="0" w:color="auto"/>
                <w:right w:val="none" w:sz="0" w:space="0" w:color="auto"/>
              </w:divBdr>
              <w:divsChild>
                <w:div w:id="1933857188">
                  <w:marLeft w:val="0"/>
                  <w:marRight w:val="0"/>
                  <w:marTop w:val="0"/>
                  <w:marBottom w:val="0"/>
                  <w:divBdr>
                    <w:top w:val="none" w:sz="0" w:space="0" w:color="auto"/>
                    <w:left w:val="none" w:sz="0" w:space="0" w:color="auto"/>
                    <w:bottom w:val="none" w:sz="0" w:space="0" w:color="auto"/>
                    <w:right w:val="none" w:sz="0" w:space="0" w:color="auto"/>
                  </w:divBdr>
                  <w:divsChild>
                    <w:div w:id="2145347351">
                      <w:marLeft w:val="0"/>
                      <w:marRight w:val="0"/>
                      <w:marTop w:val="0"/>
                      <w:marBottom w:val="0"/>
                      <w:divBdr>
                        <w:top w:val="none" w:sz="0" w:space="0" w:color="auto"/>
                        <w:left w:val="none" w:sz="0" w:space="0" w:color="auto"/>
                        <w:bottom w:val="none" w:sz="0" w:space="0" w:color="auto"/>
                        <w:right w:val="none" w:sz="0" w:space="0" w:color="auto"/>
                      </w:divBdr>
                      <w:divsChild>
                        <w:div w:id="704331817">
                          <w:marLeft w:val="0"/>
                          <w:marRight w:val="0"/>
                          <w:marTop w:val="0"/>
                          <w:marBottom w:val="0"/>
                          <w:divBdr>
                            <w:top w:val="none" w:sz="0" w:space="0" w:color="auto"/>
                            <w:left w:val="none" w:sz="0" w:space="0" w:color="auto"/>
                            <w:bottom w:val="none" w:sz="0" w:space="0" w:color="auto"/>
                            <w:right w:val="none" w:sz="0" w:space="0" w:color="auto"/>
                          </w:divBdr>
                          <w:divsChild>
                            <w:div w:id="1845776307">
                              <w:marLeft w:val="0"/>
                              <w:marRight w:val="300"/>
                              <w:marTop w:val="180"/>
                              <w:marBottom w:val="0"/>
                              <w:divBdr>
                                <w:top w:val="none" w:sz="0" w:space="0" w:color="auto"/>
                                <w:left w:val="none" w:sz="0" w:space="0" w:color="auto"/>
                                <w:bottom w:val="none" w:sz="0" w:space="0" w:color="auto"/>
                                <w:right w:val="none" w:sz="0" w:space="0" w:color="auto"/>
                              </w:divBdr>
                              <w:divsChild>
                                <w:div w:id="213170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1429608">
          <w:marLeft w:val="0"/>
          <w:marRight w:val="0"/>
          <w:marTop w:val="0"/>
          <w:marBottom w:val="0"/>
          <w:divBdr>
            <w:top w:val="none" w:sz="0" w:space="0" w:color="auto"/>
            <w:left w:val="none" w:sz="0" w:space="0" w:color="auto"/>
            <w:bottom w:val="none" w:sz="0" w:space="0" w:color="auto"/>
            <w:right w:val="none" w:sz="0" w:space="0" w:color="auto"/>
          </w:divBdr>
          <w:divsChild>
            <w:div w:id="194464468">
              <w:marLeft w:val="0"/>
              <w:marRight w:val="0"/>
              <w:marTop w:val="0"/>
              <w:marBottom w:val="0"/>
              <w:divBdr>
                <w:top w:val="none" w:sz="0" w:space="0" w:color="auto"/>
                <w:left w:val="none" w:sz="0" w:space="0" w:color="auto"/>
                <w:bottom w:val="none" w:sz="0" w:space="0" w:color="auto"/>
                <w:right w:val="none" w:sz="0" w:space="0" w:color="auto"/>
              </w:divBdr>
              <w:divsChild>
                <w:div w:id="1525704898">
                  <w:marLeft w:val="0"/>
                  <w:marRight w:val="0"/>
                  <w:marTop w:val="0"/>
                  <w:marBottom w:val="0"/>
                  <w:divBdr>
                    <w:top w:val="none" w:sz="0" w:space="0" w:color="auto"/>
                    <w:left w:val="none" w:sz="0" w:space="0" w:color="auto"/>
                    <w:bottom w:val="none" w:sz="0" w:space="0" w:color="auto"/>
                    <w:right w:val="none" w:sz="0" w:space="0" w:color="auto"/>
                  </w:divBdr>
                  <w:divsChild>
                    <w:div w:id="1997488208">
                      <w:marLeft w:val="0"/>
                      <w:marRight w:val="0"/>
                      <w:marTop w:val="0"/>
                      <w:marBottom w:val="0"/>
                      <w:divBdr>
                        <w:top w:val="none" w:sz="0" w:space="0" w:color="auto"/>
                        <w:left w:val="none" w:sz="0" w:space="0" w:color="auto"/>
                        <w:bottom w:val="none" w:sz="0" w:space="0" w:color="auto"/>
                        <w:right w:val="none" w:sz="0" w:space="0" w:color="auto"/>
                      </w:divBdr>
                      <w:divsChild>
                        <w:div w:id="53288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736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E6E99-09C8-4253-9073-330728AB8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608</TotalTime>
  <Pages>6</Pages>
  <Words>2205</Words>
  <Characters>12572</Characters>
  <Application>Microsoft Office Word</Application>
  <DocSecurity>0</DocSecurity>
  <Lines>104</Lines>
  <Paragraphs>29</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European Investment Bank</Company>
  <LinksUpToDate>false</LinksUpToDate>
  <CharactersWithSpaces>14748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ASIKAINEN Anna-Leena</dc:creator>
  <cp:keywords/>
  <dc:description/>
  <cp:lastModifiedBy>SCHALLER Michael</cp:lastModifiedBy>
  <cp:revision>124</cp:revision>
  <cp:lastPrinted>2019-07-09T13:49:00Z</cp:lastPrinted>
  <dcterms:created xsi:type="dcterms:W3CDTF">2021-11-24T13:37:00Z</dcterms:created>
  <dcterms:modified xsi:type="dcterms:W3CDTF">2021-12-10T10:28:00Z</dcterms:modified>
</cp:coreProperties>
</file>