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FE22CE" w:rsidRDefault="008F66DD">
      <w:r>
        <w:rPr>
          <w:noProof/>
          <w:lang w:val="cs-CZ" w:eastAsia="cs-CZ"/>
        </w:rPr>
        <mc:AlternateContent>
          <mc:Choice Requires="wps">
            <w:drawing>
              <wp:anchor distT="0" distB="0" distL="114300" distR="114300" simplePos="0" relativeHeight="251659264" behindDoc="0" locked="0" layoutInCell="1" allowOverlap="1">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FE22CE" w:rsidRDefault="008F66DD">
                            <w:pPr>
                              <w:spacing w:line="240" w:lineRule="auto"/>
                              <w:contextualSpacing/>
                            </w:pPr>
                            <w:r>
                              <w:rPr>
                                <w:noProof/>
                                <w:position w:val="-6"/>
                                <w:lang w:val="cs-CZ" w:eastAsia="cs-CZ"/>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9" w:tooltip="Doc Translator - www.onlinedoctranslator.com" w:history="1">
                              <w:r>
                                <w:rPr>
                                  <w:rFonts w:ascii="Roboto" w:hAnsi="Roboto"/>
                                  <w:color w:val="0F2B46"/>
                                  <w:sz w:val="18"/>
                                  <w:szCs w:val="18"/>
                                </w:rPr>
                                <w:t xml:space="preserve">Přeloženo z angličtina do čeština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 id="ODT_ATTR_LBL_SHAPE" type="#_x0000_t202" style="position:absolute;left:0;text-align:left;margin-left:0;margin-top:0;width:611.45pt;height:17.3pt;z-index:251659264;visibility:visible;mso-wrap-style:square;mso-width-percent:1000;mso-height-percent:0;mso-wrap-distance-left:9pt;mso-wrap-distance-top:3.6pt;mso-wrap-distance-right:9pt;mso-wrap-distance-bottom:3.6pt;mso-position-horizontal:absolute;mso-position-horizontal-relative:page;mso-position-vertical:absolute;mso-position-vertical-relative:page;mso-width-percent:1000;mso-height-percent:0;mso-width-relative:page;mso-height-relative:margin;v-text-anchor:top" o:gfxdata="" fillcolor="#f2f2f2" stroked="f">
                <v:textbox inset=",0,,0">
                  <w:txbxContent>
                    <w:p>
                      <w:pPr>
                        <w:bidi/>
                        <w:spacing w:line="240" w:lineRule="auto"/>
                        <w:contextualSpacing/>
                        <w:jc w:val="left"/>
                      </w:pPr>
                      <w:r>
                        <w:rPr>
                          <w:noProof/>
                          <w:position w:val="-6"/>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_odt_logo"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_odt_hyperlink" w:history="1" w:tooltip="Doc Translator - www.onlinedoctranslator.com">
                        <w:r>
                          <w:rPr>
                            <w:rFonts w:ascii="Roboto" w:hAnsi="Roboto"/>
                            <w:color w:val="0F2B46"/>
                            <w:sz w:val="18"/>
                            <w:szCs w:val="18"/>
                          </w:rPr>
                          <w:t xml:space="preserve">Přeloženo z angličtina do čeština - </w:t>
                        </w:r>
                        <w:r>
                          <w:rPr>
                            <w:rFonts w:ascii="Roboto" w:hAnsi="Roboto"/>
                            <w:color w:val="0F2B46"/>
                            <w:sz w:val="18"/>
                            <w:szCs w:val="18"/>
                            <w:u w:val="single"/>
                          </w:rPr>
                          <w:t>www.onlinedoctranslator.com</w:t>
                        </w:r>
                      </w:hyperlink>
                    </w:p>
                  </w:txbxContent>
                </v:textbox>
                <w10:wrap anchorx="page" anchory="page"/>
              </v:shape>
            </w:pict>
          </mc:Fallback>
        </mc:AlternateContent>
      </w:r>
    </w:p>
    <w:p w:rsidR="007F0941" w:rsidRDefault="009E2181">
      <w:pPr>
        <w:jc w:val="both"/>
        <w:rPr>
          <w:rFonts w:ascii="Arial" w:hAnsi="Arial" w:cs="Arial"/>
          <w:b/>
          <w:sz w:val="28"/>
        </w:rPr>
      </w:pPr>
      <w:r>
        <w:rPr>
          <w:rFonts w:ascii="Arial" w:hAnsi="Arial" w:cs="Arial"/>
          <w:b/>
          <w:sz w:val="28"/>
        </w:rPr>
        <w:t>Fond spravedlivého přechodu — Strategické posouzení návrhu projektu</w:t>
      </w:r>
    </w:p>
    <w:p w:rsidR="007F0941" w:rsidRDefault="00DD5B0C">
      <w:pPr>
        <w:jc w:val="both"/>
        <w:rPr>
          <w:rFonts w:ascii="Arial" w:hAnsi="Arial" w:cs="Arial"/>
          <w:i/>
          <w:sz w:val="16"/>
        </w:rPr>
      </w:pPr>
      <w:r>
        <w:rPr>
          <w:rFonts w:ascii="Arial" w:hAnsi="Arial" w:cs="Arial"/>
          <w:i/>
          <w:sz w:val="16"/>
        </w:rPr>
        <w:t>(Hodnotící zpráva o relevantních informacích uvedených v projektové dokumentaci)</w:t>
      </w:r>
    </w:p>
    <w:p w:rsidR="007F2832" w:rsidRDefault="007F2832">
      <w:pPr>
        <w:jc w:val="both"/>
        <w:rPr>
          <w:rFonts w:ascii="Arial" w:hAnsi="Arial" w:cs="Arial"/>
          <w:b/>
          <w:sz w:val="24"/>
          <w:u w:val="single"/>
        </w:rPr>
      </w:pPr>
    </w:p>
    <w:p w:rsidR="007F2832" w:rsidRDefault="007F2832" w:rsidP="007F2832">
      <w:pPr>
        <w:jc w:val="both"/>
        <w:rPr>
          <w:rFonts w:ascii="Arial" w:hAnsi="Arial" w:cs="Arial"/>
          <w:b/>
          <w:sz w:val="24"/>
          <w:u w:val="single"/>
        </w:rPr>
      </w:pPr>
      <w:r>
        <w:rPr>
          <w:rFonts w:ascii="Arial" w:hAnsi="Arial" w:cs="Arial"/>
          <w:b/>
          <w:sz w:val="24"/>
          <w:u w:val="single"/>
        </w:rPr>
        <w:t>Detaily projektu</w:t>
      </w:r>
    </w:p>
    <w:p w:rsidR="007F2832" w:rsidRDefault="007F2832" w:rsidP="007F2832">
      <w:pPr>
        <w:jc w:val="both"/>
        <w:rPr>
          <w:rFonts w:ascii="Arial" w:hAnsi="Arial" w:cs="Arial"/>
          <w:b/>
          <w:sz w:val="24"/>
          <w:u w:val="single"/>
        </w:rPr>
      </w:pPr>
    </w:p>
    <w:tbl>
      <w:tblPr>
        <w:tblStyle w:val="Mkatabulky"/>
        <w:tblW w:w="0" w:type="auto"/>
        <w:tblCellMar>
          <w:top w:w="85" w:type="dxa"/>
          <w:bottom w:w="85" w:type="dxa"/>
        </w:tblCellMar>
        <w:tblLook w:val="04A0" w:firstRow="1" w:lastRow="0" w:firstColumn="1" w:lastColumn="0" w:noHBand="0" w:noVBand="1"/>
      </w:tblPr>
      <w:tblGrid>
        <w:gridCol w:w="4508"/>
        <w:gridCol w:w="4508"/>
      </w:tblGrid>
      <w:tr w:rsidR="007F2832" w:rsidTr="00A70278">
        <w:tc>
          <w:tcPr>
            <w:tcW w:w="4508" w:type="dxa"/>
          </w:tcPr>
          <w:p w:rsidR="007F2832" w:rsidRPr="00A70278" w:rsidRDefault="007F2832" w:rsidP="007F2832">
            <w:pPr>
              <w:jc w:val="both"/>
              <w:rPr>
                <w:rFonts w:ascii="Arial" w:hAnsi="Arial" w:cs="Arial"/>
                <w:i/>
                <w:sz w:val="24"/>
              </w:rPr>
            </w:pPr>
            <w:r w:rsidRPr="004250A9">
              <w:rPr>
                <w:rFonts w:ascii="Arial" w:hAnsi="Arial" w:cs="Arial"/>
                <w:i/>
                <w:sz w:val="24"/>
              </w:rPr>
              <w:t>Název projektu</w:t>
            </w:r>
          </w:p>
        </w:tc>
        <w:tc>
          <w:tcPr>
            <w:tcW w:w="4508" w:type="dxa"/>
          </w:tcPr>
          <w:p w:rsidR="007F2832" w:rsidRPr="00093B19" w:rsidRDefault="0054620D" w:rsidP="007F2832">
            <w:pPr>
              <w:jc w:val="both"/>
              <w:rPr>
                <w:rFonts w:ascii="Arial" w:hAnsi="Arial" w:cs="Arial"/>
                <w:sz w:val="24"/>
              </w:rPr>
            </w:pPr>
            <w:r w:rsidRPr="0054620D">
              <w:rPr>
                <w:rFonts w:ascii="Arial" w:hAnsi="Arial" w:cs="Arial"/>
                <w:sz w:val="24"/>
              </w:rPr>
              <w:t>Regional Business Park Sokolov (kbps)</w:t>
            </w:r>
          </w:p>
        </w:tc>
      </w:tr>
      <w:tr w:rsidR="007F2832" w:rsidTr="00A70278">
        <w:tc>
          <w:tcPr>
            <w:tcW w:w="4508" w:type="dxa"/>
          </w:tcPr>
          <w:p w:rsidR="007F2832" w:rsidRPr="00A70278" w:rsidRDefault="007F2832" w:rsidP="007F2832">
            <w:pPr>
              <w:jc w:val="both"/>
              <w:rPr>
                <w:rFonts w:ascii="Arial" w:hAnsi="Arial" w:cs="Arial"/>
                <w:i/>
                <w:sz w:val="24"/>
              </w:rPr>
            </w:pPr>
            <w:r w:rsidRPr="00A70278">
              <w:rPr>
                <w:rFonts w:ascii="Arial" w:hAnsi="Arial" w:cs="Arial"/>
                <w:i/>
                <w:sz w:val="24"/>
              </w:rPr>
              <w:t>Příjemce</w:t>
            </w:r>
          </w:p>
        </w:tc>
        <w:tc>
          <w:tcPr>
            <w:tcW w:w="4508" w:type="dxa"/>
          </w:tcPr>
          <w:p w:rsidR="007F2832" w:rsidRPr="0054620D" w:rsidRDefault="0054620D" w:rsidP="0054620D">
            <w:pPr>
              <w:jc w:val="both"/>
              <w:rPr>
                <w:rFonts w:ascii="Arial" w:hAnsi="Arial" w:cs="Arial"/>
                <w:sz w:val="24"/>
              </w:rPr>
            </w:pPr>
            <w:proofErr w:type="spellStart"/>
            <w:r w:rsidRPr="0054620D">
              <w:rPr>
                <w:rFonts w:ascii="Arial" w:hAnsi="Arial" w:cs="Arial"/>
                <w:sz w:val="24"/>
              </w:rPr>
              <w:t>Karlovarský</w:t>
            </w:r>
            <w:proofErr w:type="spellEnd"/>
            <w:r w:rsidRPr="0054620D">
              <w:rPr>
                <w:rFonts w:ascii="Arial" w:hAnsi="Arial" w:cs="Arial"/>
                <w:sz w:val="24"/>
              </w:rPr>
              <w:t xml:space="preserve"> </w:t>
            </w:r>
            <w:proofErr w:type="spellStart"/>
            <w:r w:rsidRPr="0054620D">
              <w:rPr>
                <w:rFonts w:ascii="Arial" w:hAnsi="Arial" w:cs="Arial"/>
                <w:sz w:val="24"/>
              </w:rPr>
              <w:t>kraj</w:t>
            </w:r>
            <w:proofErr w:type="spellEnd"/>
          </w:p>
        </w:tc>
      </w:tr>
      <w:tr w:rsidR="007F2832" w:rsidTr="00A70278">
        <w:tc>
          <w:tcPr>
            <w:tcW w:w="4508" w:type="dxa"/>
          </w:tcPr>
          <w:p w:rsidR="007F2832" w:rsidRPr="00A70278" w:rsidRDefault="004250A9" w:rsidP="007F2832">
            <w:pPr>
              <w:jc w:val="both"/>
              <w:rPr>
                <w:rFonts w:ascii="Arial" w:hAnsi="Arial" w:cs="Arial"/>
                <w:i/>
                <w:sz w:val="24"/>
              </w:rPr>
            </w:pPr>
            <w:r w:rsidRPr="004250A9">
              <w:rPr>
                <w:rFonts w:ascii="Arial" w:hAnsi="Arial" w:cs="Arial"/>
                <w:i/>
                <w:sz w:val="24"/>
              </w:rPr>
              <w:t>Odhadované náklady</w:t>
            </w:r>
          </w:p>
        </w:tc>
        <w:tc>
          <w:tcPr>
            <w:tcW w:w="4508" w:type="dxa"/>
          </w:tcPr>
          <w:p w:rsidR="007F2832" w:rsidRPr="00093B19" w:rsidRDefault="0054620D" w:rsidP="00EC5463">
            <w:pPr>
              <w:jc w:val="both"/>
              <w:rPr>
                <w:rFonts w:ascii="Arial" w:hAnsi="Arial" w:cs="Arial"/>
                <w:sz w:val="24"/>
              </w:rPr>
            </w:pPr>
            <w:r>
              <w:rPr>
                <w:rFonts w:ascii="Arial" w:hAnsi="Arial" w:cs="Arial"/>
                <w:sz w:val="24"/>
              </w:rPr>
              <w:t>450 000 000 Kč (17 701 425 EUR)</w:t>
            </w:r>
          </w:p>
        </w:tc>
      </w:tr>
      <w:tr w:rsidR="003856A9" w:rsidTr="004250A9">
        <w:tc>
          <w:tcPr>
            <w:tcW w:w="4508" w:type="dxa"/>
          </w:tcPr>
          <w:p w:rsidR="003856A9" w:rsidRPr="00FB0EFD" w:rsidRDefault="003856A9" w:rsidP="003856A9">
            <w:pPr>
              <w:jc w:val="both"/>
              <w:rPr>
                <w:color w:val="000000"/>
              </w:rPr>
            </w:pPr>
            <w:r w:rsidRPr="006E47C3">
              <w:rPr>
                <w:rFonts w:ascii="Arial" w:hAnsi="Arial" w:cs="Arial"/>
                <w:i/>
                <w:sz w:val="24"/>
              </w:rPr>
              <w:t xml:space="preserve">Odhadovaný časový plán implementace </w:t>
            </w:r>
          </w:p>
        </w:tc>
        <w:tc>
          <w:tcPr>
            <w:tcW w:w="4508" w:type="dxa"/>
          </w:tcPr>
          <w:p w:rsidR="003856A9" w:rsidRPr="00093B19" w:rsidRDefault="0054620D" w:rsidP="007F2832">
            <w:pPr>
              <w:jc w:val="both"/>
              <w:rPr>
                <w:rFonts w:ascii="Arial" w:hAnsi="Arial" w:cs="Arial"/>
                <w:sz w:val="24"/>
              </w:rPr>
            </w:pPr>
            <w:r>
              <w:rPr>
                <w:rFonts w:ascii="Arial" w:hAnsi="Arial" w:cs="Arial"/>
                <w:sz w:val="24"/>
              </w:rPr>
              <w:t>2023–2028</w:t>
            </w:r>
          </w:p>
        </w:tc>
      </w:tr>
      <w:tr w:rsidR="004250A9" w:rsidTr="00A70278">
        <w:tc>
          <w:tcPr>
            <w:tcW w:w="4508" w:type="dxa"/>
          </w:tcPr>
          <w:p w:rsidR="004250A9" w:rsidRPr="004250A9" w:rsidRDefault="004250A9" w:rsidP="007F2832">
            <w:pPr>
              <w:jc w:val="both"/>
              <w:rPr>
                <w:rFonts w:ascii="Arial" w:hAnsi="Arial" w:cs="Arial"/>
                <w:i/>
                <w:sz w:val="24"/>
              </w:rPr>
            </w:pPr>
            <w:r w:rsidRPr="004250A9">
              <w:rPr>
                <w:rFonts w:ascii="Arial" w:hAnsi="Arial" w:cs="Arial"/>
                <w:i/>
                <w:sz w:val="24"/>
              </w:rPr>
              <w:t>Umístění</w:t>
            </w:r>
          </w:p>
        </w:tc>
        <w:tc>
          <w:tcPr>
            <w:tcW w:w="4508" w:type="dxa"/>
          </w:tcPr>
          <w:p w:rsidR="004250A9" w:rsidRPr="00093B19" w:rsidRDefault="0054620D" w:rsidP="007F2832">
            <w:pPr>
              <w:jc w:val="both"/>
              <w:rPr>
                <w:rFonts w:ascii="Arial" w:hAnsi="Arial" w:cs="Arial"/>
                <w:sz w:val="24"/>
              </w:rPr>
            </w:pPr>
            <w:proofErr w:type="spellStart"/>
            <w:r>
              <w:rPr>
                <w:rFonts w:ascii="Arial" w:hAnsi="Arial" w:cs="Arial"/>
                <w:sz w:val="24"/>
              </w:rPr>
              <w:t>Sokolov</w:t>
            </w:r>
            <w:proofErr w:type="spellEnd"/>
          </w:p>
        </w:tc>
      </w:tr>
      <w:tr w:rsidR="004250A9" w:rsidTr="00A70278">
        <w:tc>
          <w:tcPr>
            <w:tcW w:w="4508" w:type="dxa"/>
          </w:tcPr>
          <w:p w:rsidR="004250A9" w:rsidRPr="004250A9" w:rsidRDefault="004250A9" w:rsidP="007F2832">
            <w:pPr>
              <w:jc w:val="both"/>
              <w:rPr>
                <w:rFonts w:ascii="Arial" w:hAnsi="Arial" w:cs="Arial"/>
                <w:i/>
                <w:sz w:val="24"/>
              </w:rPr>
            </w:pPr>
            <w:r w:rsidRPr="004250A9">
              <w:rPr>
                <w:rFonts w:ascii="Arial" w:hAnsi="Arial" w:cs="Arial"/>
                <w:i/>
                <w:sz w:val="24"/>
              </w:rPr>
              <w:t>Kraj</w:t>
            </w:r>
          </w:p>
        </w:tc>
        <w:tc>
          <w:tcPr>
            <w:tcW w:w="4508" w:type="dxa"/>
          </w:tcPr>
          <w:p w:rsidR="004250A9" w:rsidRPr="00093B19" w:rsidRDefault="0054620D" w:rsidP="007F2832">
            <w:pPr>
              <w:jc w:val="both"/>
              <w:rPr>
                <w:rFonts w:ascii="Arial" w:hAnsi="Arial" w:cs="Arial"/>
                <w:sz w:val="24"/>
              </w:rPr>
            </w:pPr>
            <w:proofErr w:type="spellStart"/>
            <w:r w:rsidRPr="0054620D">
              <w:rPr>
                <w:rFonts w:ascii="Arial" w:hAnsi="Arial" w:cs="Arial"/>
                <w:sz w:val="24"/>
              </w:rPr>
              <w:t>Karlovarský</w:t>
            </w:r>
            <w:proofErr w:type="spellEnd"/>
            <w:r w:rsidRPr="0054620D">
              <w:rPr>
                <w:rFonts w:ascii="Arial" w:hAnsi="Arial" w:cs="Arial"/>
                <w:sz w:val="24"/>
              </w:rPr>
              <w:t xml:space="preserve"> </w:t>
            </w:r>
            <w:proofErr w:type="spellStart"/>
            <w:r w:rsidRPr="0054620D">
              <w:rPr>
                <w:rFonts w:ascii="Arial" w:hAnsi="Arial" w:cs="Arial"/>
                <w:sz w:val="24"/>
              </w:rPr>
              <w:t>kraj</w:t>
            </w:r>
            <w:proofErr w:type="spellEnd"/>
          </w:p>
        </w:tc>
      </w:tr>
    </w:tbl>
    <w:p w:rsidR="007F2832" w:rsidRDefault="007F2832" w:rsidP="007F2832">
      <w:pPr>
        <w:jc w:val="both"/>
        <w:rPr>
          <w:rFonts w:ascii="Arial" w:hAnsi="Arial" w:cs="Arial"/>
          <w:b/>
          <w:sz w:val="24"/>
          <w:u w:val="single"/>
        </w:rPr>
      </w:pPr>
    </w:p>
    <w:p w:rsidR="00970DD6" w:rsidRDefault="00970DD6" w:rsidP="00970DD6">
      <w:pPr>
        <w:jc w:val="both"/>
        <w:rPr>
          <w:rFonts w:ascii="Arial" w:hAnsi="Arial" w:cs="Arial"/>
          <w:b/>
          <w:sz w:val="24"/>
          <w:u w:val="single"/>
        </w:rPr>
      </w:pPr>
      <w:r>
        <w:rPr>
          <w:rFonts w:ascii="Arial" w:hAnsi="Arial" w:cs="Arial"/>
          <w:b/>
          <w:sz w:val="24"/>
          <w:u w:val="single"/>
        </w:rPr>
        <w:t>Popis projektu</w:t>
      </w:r>
    </w:p>
    <w:tbl>
      <w:tblPr>
        <w:tblStyle w:val="Mkatabulky"/>
        <w:tblW w:w="9445" w:type="dxa"/>
        <w:tblLook w:val="04A0" w:firstRow="1" w:lastRow="0" w:firstColumn="1" w:lastColumn="0" w:noHBand="0" w:noVBand="1"/>
      </w:tblPr>
      <w:tblGrid>
        <w:gridCol w:w="9445"/>
      </w:tblGrid>
      <w:tr w:rsidR="00970DD6" w:rsidTr="00821E87">
        <w:trPr>
          <w:trHeight w:val="754"/>
        </w:trPr>
        <w:tc>
          <w:tcPr>
            <w:tcW w:w="9445" w:type="dxa"/>
          </w:tcPr>
          <w:p w:rsidR="0054620D" w:rsidRDefault="00093B19" w:rsidP="0054620D">
            <w:pPr>
              <w:spacing w:before="60" w:after="60"/>
              <w:jc w:val="both"/>
              <w:rPr>
                <w:rFonts w:ascii="Arial" w:hAnsi="Arial" w:cs="Arial"/>
                <w:color w:val="202124"/>
                <w:shd w:val="clear" w:color="auto" w:fill="FFFFFF"/>
              </w:rPr>
            </w:pPr>
            <w:r w:rsidRPr="00BC3000">
              <w:rPr>
                <w:rFonts w:ascii="Arial" w:hAnsi="Arial" w:cs="Arial"/>
                <w:color w:val="202124"/>
                <w:shd w:val="clear" w:color="auto" w:fill="FFFFFF"/>
              </w:rPr>
              <w:t xml:space="preserve">Projekt zahrnuje řadu aktivit k přípravě výstavby business parku ve městě Sokolov. Tyto činnosti zahrnují studie, průzkumy, vydávání povolení a některé přípravné stavební práce. Areál se </w:t>
            </w:r>
            <w:proofErr w:type="spellStart"/>
            <w:r w:rsidRPr="00BC3000">
              <w:rPr>
                <w:rFonts w:ascii="Arial" w:hAnsi="Arial" w:cs="Arial"/>
                <w:color w:val="202124"/>
                <w:shd w:val="clear" w:color="auto" w:fill="FFFFFF"/>
              </w:rPr>
              <w:t>nachází</w:t>
            </w:r>
            <w:proofErr w:type="spellEnd"/>
            <w:r w:rsidRPr="00BC3000">
              <w:rPr>
                <w:rFonts w:ascii="Arial" w:hAnsi="Arial" w:cs="Arial"/>
                <w:color w:val="202124"/>
                <w:shd w:val="clear" w:color="auto" w:fill="FFFFFF"/>
              </w:rPr>
              <w:t xml:space="preserve"> v </w:t>
            </w:r>
            <w:proofErr w:type="spellStart"/>
            <w:r w:rsidRPr="00BC3000">
              <w:rPr>
                <w:rFonts w:ascii="Arial" w:hAnsi="Arial" w:cs="Arial"/>
                <w:color w:val="202124"/>
                <w:shd w:val="clear" w:color="auto" w:fill="FFFFFF"/>
              </w:rPr>
              <w:t>centru</w:t>
            </w:r>
            <w:proofErr w:type="spellEnd"/>
            <w:r w:rsidRPr="00BC3000">
              <w:rPr>
                <w:rFonts w:ascii="Arial" w:hAnsi="Arial" w:cs="Arial"/>
                <w:color w:val="202124"/>
                <w:shd w:val="clear" w:color="auto" w:fill="FFFFFF"/>
              </w:rPr>
              <w:t xml:space="preserve"> </w:t>
            </w:r>
            <w:proofErr w:type="spellStart"/>
            <w:r w:rsidRPr="00BC3000">
              <w:rPr>
                <w:rFonts w:ascii="Arial" w:hAnsi="Arial" w:cs="Arial"/>
                <w:color w:val="202124"/>
                <w:shd w:val="clear" w:color="auto" w:fill="FFFFFF"/>
              </w:rPr>
              <w:t>Sokolova</w:t>
            </w:r>
            <w:proofErr w:type="spellEnd"/>
            <w:r w:rsidRPr="00BC3000">
              <w:rPr>
                <w:rFonts w:ascii="Arial" w:hAnsi="Arial" w:cs="Arial"/>
                <w:color w:val="202124"/>
                <w:shd w:val="clear" w:color="auto" w:fill="FFFFFF"/>
              </w:rPr>
              <w:t>.</w:t>
            </w:r>
          </w:p>
          <w:p w:rsidR="0054620D" w:rsidRDefault="0054620D" w:rsidP="0054620D">
            <w:pPr>
              <w:spacing w:before="60" w:after="60"/>
              <w:jc w:val="both"/>
              <w:rPr>
                <w:rFonts w:ascii="Arial" w:hAnsi="Arial" w:cs="Arial"/>
                <w:color w:val="202124"/>
                <w:shd w:val="clear" w:color="auto" w:fill="FFFFFF"/>
              </w:rPr>
            </w:pPr>
          </w:p>
          <w:p w:rsidR="0054620D" w:rsidRPr="0054620D" w:rsidRDefault="000D2ABA" w:rsidP="000D2ABA">
            <w:pPr>
              <w:spacing w:before="60" w:after="60"/>
              <w:jc w:val="both"/>
              <w:rPr>
                <w:rFonts w:ascii="Arial" w:hAnsi="Arial" w:cs="Arial"/>
                <w:color w:val="202124"/>
                <w:shd w:val="clear" w:color="auto" w:fill="FFFFFF"/>
              </w:rPr>
            </w:pPr>
            <w:r>
              <w:rPr>
                <w:rFonts w:ascii="Arial" w:hAnsi="Arial" w:cs="Arial"/>
                <w:color w:val="202124"/>
                <w:shd w:val="clear" w:color="auto" w:fill="FFFFFF"/>
              </w:rPr>
              <w:t>Předkladatel předpokládá, že další fáze investice (výstavba parku) vytvoří 2500 nových pracovních míst a park pojme 50 firem.</w:t>
            </w:r>
          </w:p>
        </w:tc>
      </w:tr>
    </w:tbl>
    <w:p w:rsidR="007F2832" w:rsidRDefault="007F2832">
      <w:pPr>
        <w:jc w:val="both"/>
        <w:rPr>
          <w:rFonts w:ascii="Arial" w:hAnsi="Arial" w:cs="Arial"/>
          <w:b/>
          <w:sz w:val="24"/>
          <w:u w:val="single"/>
        </w:rPr>
      </w:pPr>
    </w:p>
    <w:p w:rsidR="007F0941" w:rsidRDefault="00DD5B0C">
      <w:pPr>
        <w:jc w:val="both"/>
        <w:rPr>
          <w:rFonts w:ascii="Arial" w:hAnsi="Arial" w:cs="Arial"/>
          <w:b/>
          <w:sz w:val="24"/>
          <w:u w:val="single"/>
        </w:rPr>
      </w:pPr>
      <w:r>
        <w:rPr>
          <w:rFonts w:ascii="Arial" w:hAnsi="Arial" w:cs="Arial"/>
          <w:b/>
          <w:sz w:val="24"/>
          <w:u w:val="single"/>
        </w:rPr>
        <w:t>Způsobilost projektu</w:t>
      </w:r>
    </w:p>
    <w:tbl>
      <w:tblPr>
        <w:tblStyle w:val="Mkatabulky"/>
        <w:tblW w:w="9445" w:type="dxa"/>
        <w:tblLook w:val="04A0" w:firstRow="1" w:lastRow="0" w:firstColumn="1" w:lastColumn="0" w:noHBand="0" w:noVBand="1"/>
      </w:tblPr>
      <w:tblGrid>
        <w:gridCol w:w="9445"/>
      </w:tblGrid>
      <w:tr w:rsidR="00C25026" w:rsidTr="0059418C">
        <w:tc>
          <w:tcPr>
            <w:tcW w:w="9445" w:type="dxa"/>
            <w:shd w:val="clear" w:color="auto" w:fill="D9D9D9" w:themeFill="background1" w:themeFillShade="D9"/>
          </w:tcPr>
          <w:p w:rsidR="00C25026" w:rsidRDefault="00C25026" w:rsidP="0059418C">
            <w:pPr>
              <w:spacing w:before="60" w:after="60"/>
              <w:jc w:val="both"/>
              <w:rPr>
                <w:rFonts w:ascii="Arial" w:hAnsi="Arial" w:cs="Arial"/>
                <w:b/>
                <w:sz w:val="24"/>
              </w:rPr>
            </w:pPr>
            <w:r>
              <w:rPr>
                <w:rFonts w:ascii="Arial" w:hAnsi="Arial" w:cs="Arial"/>
                <w:b/>
                <w:sz w:val="24"/>
              </w:rPr>
              <w:t xml:space="preserve">Uvedení do souladu s článkem 2: Specifický cíl JTF </w:t>
            </w:r>
          </w:p>
          <w:p w:rsidR="00C25026" w:rsidRPr="0059418C" w:rsidRDefault="00B74ECC" w:rsidP="00B74ECC">
            <w:pPr>
              <w:spacing w:before="60" w:after="60"/>
              <w:jc w:val="both"/>
              <w:rPr>
                <w:rFonts w:ascii="Arial" w:hAnsi="Arial" w:cs="Arial"/>
                <w:b/>
                <w:i/>
                <w:sz w:val="24"/>
              </w:rPr>
            </w:pPr>
            <w:r>
              <w:rPr>
                <w:rFonts w:ascii="Arial" w:hAnsi="Arial" w:cs="Arial"/>
                <w:b/>
                <w:i/>
                <w:sz w:val="24"/>
              </w:rPr>
              <w:t>"</w:t>
            </w:r>
            <w:r w:rsidR="00C25026" w:rsidRPr="0059418C">
              <w:rPr>
                <w:i/>
              </w:rPr>
              <w:t>JTF přispěje k jedinému specifickému cíli „umožnit regionům a lidem řešit sociální, hospodářské a environmentální dopady přechodu na klimaticky neutrální ekonomiku“.</w:t>
            </w:r>
          </w:p>
        </w:tc>
      </w:tr>
      <w:tr w:rsidR="00C25026" w:rsidTr="00475362">
        <w:trPr>
          <w:trHeight w:val="983"/>
        </w:trPr>
        <w:tc>
          <w:tcPr>
            <w:tcW w:w="9445" w:type="dxa"/>
          </w:tcPr>
          <w:p w:rsidR="0008508E" w:rsidRPr="00EC5463" w:rsidRDefault="000D2ABA" w:rsidP="00C17318">
            <w:pPr>
              <w:spacing w:before="60" w:after="60"/>
              <w:jc w:val="both"/>
              <w:rPr>
                <w:rFonts w:ascii="Arial" w:hAnsi="Arial" w:cs="Arial"/>
                <w:color w:val="202124"/>
                <w:shd w:val="clear" w:color="auto" w:fill="FFFFFF"/>
              </w:rPr>
            </w:pPr>
            <w:r>
              <w:rPr>
                <w:rFonts w:ascii="Arial" w:hAnsi="Arial" w:cs="Arial"/>
                <w:color w:val="202124"/>
                <w:shd w:val="clear" w:color="auto" w:fill="FFFFFF"/>
              </w:rPr>
              <w:t>Samotný projekt (příprava lokality) k cílům JTF (kromě sanace lokality) nepřispěje. Za předpokladu, že bude pokračovat druhá fáze projektu – výstavba a provoz parku – se cíle projektu zdají být slučitelné s článkem 2 JTF. Míra, do jaké projekt dosáhne svých cílů, však závisí na mnoha faktorech, jako je trh s nemovitostmi, místní trh, poptávka a přítomnost dalších bariér/problémů mimo projekt.</w:t>
            </w:r>
          </w:p>
        </w:tc>
      </w:tr>
    </w:tbl>
    <w:p w:rsidR="00C25026" w:rsidRDefault="00C25026">
      <w:pPr>
        <w:jc w:val="both"/>
        <w:rPr>
          <w:rFonts w:ascii="Arial" w:hAnsi="Arial" w:cs="Arial"/>
          <w:b/>
          <w:sz w:val="24"/>
          <w:u w:val="single"/>
        </w:rPr>
      </w:pPr>
    </w:p>
    <w:tbl>
      <w:tblPr>
        <w:tblStyle w:val="Mkatabulky"/>
        <w:tblW w:w="9445" w:type="dxa"/>
        <w:tblLook w:val="04A0" w:firstRow="1" w:lastRow="0" w:firstColumn="1" w:lastColumn="0" w:noHBand="0" w:noVBand="1"/>
      </w:tblPr>
      <w:tblGrid>
        <w:gridCol w:w="9445"/>
      </w:tblGrid>
      <w:tr w:rsidR="00F8325E" w:rsidTr="00F8325E">
        <w:trPr>
          <w:trHeight w:val="336"/>
        </w:trPr>
        <w:tc>
          <w:tcPr>
            <w:tcW w:w="9445" w:type="dxa"/>
            <w:vMerge w:val="restart"/>
            <w:shd w:val="clear" w:color="auto" w:fill="D9D9D9" w:themeFill="background1" w:themeFillShade="D9"/>
          </w:tcPr>
          <w:p w:rsidR="00F8325E" w:rsidRDefault="00C25026">
            <w:pPr>
              <w:spacing w:before="60" w:after="60"/>
              <w:jc w:val="both"/>
              <w:rPr>
                <w:rFonts w:ascii="Arial" w:hAnsi="Arial" w:cs="Arial"/>
                <w:b/>
                <w:sz w:val="24"/>
              </w:rPr>
            </w:pPr>
            <w:r>
              <w:rPr>
                <w:rFonts w:ascii="Arial" w:hAnsi="Arial" w:cs="Arial"/>
                <w:b/>
                <w:sz w:val="24"/>
              </w:rPr>
              <w:t xml:space="preserve">Uvedení do souladu s článkem 8: Rozsah podpory </w:t>
            </w:r>
          </w:p>
          <w:p w:rsidR="00C25026" w:rsidRPr="00FB0EFD" w:rsidRDefault="00B74ECC" w:rsidP="00B74ECC">
            <w:pPr>
              <w:spacing w:before="60" w:after="60"/>
              <w:jc w:val="both"/>
              <w:rPr>
                <w:rFonts w:ascii="Arial" w:hAnsi="Arial" w:cs="Arial"/>
                <w:b/>
                <w:i/>
                <w:sz w:val="24"/>
              </w:rPr>
            </w:pPr>
            <w:r>
              <w:rPr>
                <w:rFonts w:ascii="Arial" w:hAnsi="Arial" w:cs="Arial"/>
                <w:b/>
                <w:i/>
                <w:sz w:val="24"/>
              </w:rPr>
              <w:t>"</w:t>
            </w:r>
            <w:r w:rsidR="00C25026" w:rsidRPr="00FB0EFD">
              <w:rPr>
                <w:i/>
              </w:rPr>
              <w:t>JTF podpoří pouze činnosti, které přímo souvisejí s jeho konkrétním cílem uvedeným v článku 2 a které přispívají k provádění územních plánů spravedlivé transformace stanovených v souladu s článkem 7. V souladu s odstavcem 1 bude JTF výhradně podporovat následující činnosti:"</w:t>
            </w:r>
          </w:p>
        </w:tc>
      </w:tr>
      <w:tr w:rsidR="00F8325E" w:rsidTr="00F8325E">
        <w:trPr>
          <w:trHeight w:val="396"/>
        </w:trPr>
        <w:tc>
          <w:tcPr>
            <w:tcW w:w="9445" w:type="dxa"/>
            <w:vMerge/>
            <w:shd w:val="clear" w:color="auto" w:fill="D9D9D9" w:themeFill="background1" w:themeFillShade="D9"/>
          </w:tcPr>
          <w:p w:rsidR="00F8325E" w:rsidRDefault="00F8325E">
            <w:pPr>
              <w:spacing w:before="60" w:after="60"/>
              <w:jc w:val="both"/>
              <w:rPr>
                <w:rFonts w:ascii="Arial" w:hAnsi="Arial" w:cs="Arial"/>
                <w:b/>
                <w:sz w:val="24"/>
              </w:rPr>
            </w:pPr>
          </w:p>
        </w:tc>
      </w:tr>
      <w:tr w:rsidR="00F8325E" w:rsidTr="00F8325E">
        <w:tc>
          <w:tcPr>
            <w:tcW w:w="9445" w:type="dxa"/>
          </w:tcPr>
          <w:p w:rsidR="00F8325E" w:rsidRDefault="00F8325E" w:rsidP="004034DF">
            <w:pPr>
              <w:spacing w:before="60" w:after="60"/>
              <w:jc w:val="both"/>
              <w:rPr>
                <w:rFonts w:ascii="Arial" w:hAnsi="Arial" w:cs="Arial"/>
                <w:sz w:val="24"/>
                <w:u w:val="single"/>
              </w:rPr>
            </w:pPr>
            <w:r>
              <w:rPr>
                <w:rFonts w:ascii="Arial" w:hAnsi="Arial" w:cs="Arial"/>
                <w:sz w:val="24"/>
                <w:u w:val="single"/>
              </w:rPr>
              <w:lastRenderedPageBreak/>
              <w:t>Shoda projektu se způsobilými aktivitami:</w:t>
            </w:r>
          </w:p>
          <w:p w:rsidR="00F8325E" w:rsidRPr="00661CA4" w:rsidRDefault="008F66DD" w:rsidP="00661CA4">
            <w:pPr>
              <w:spacing w:before="60" w:after="60"/>
              <w:jc w:val="both"/>
              <w:rPr>
                <w:rFonts w:ascii="Arial" w:hAnsi="Arial" w:cs="Arial"/>
                <w:sz w:val="24"/>
              </w:rPr>
            </w:pPr>
            <w:sdt>
              <w:sdtPr>
                <w:rPr>
                  <w:rFonts w:ascii="MS Gothic" w:eastAsia="MS Gothic" w:hAnsi="MS Gothic" w:cs="Arial"/>
                  <w:b/>
                  <w:sz w:val="24"/>
                  <w:lang w:val="en-US"/>
                </w:rPr>
                <w:id w:val="-1988773001"/>
                <w14:checkbox>
                  <w14:checked w14:val="0"/>
                  <w14:checkedState w14:val="2612" w14:font="MS Gothic"/>
                  <w14:uncheckedState w14:val="2610" w14:font="MS Gothic"/>
                </w14:checkbox>
              </w:sdtPr>
              <w:sdtEndPr/>
              <w:sdtContent>
                <w:r w:rsidR="00F8325E">
                  <w:rPr>
                    <w:rFonts w:ascii="MS Gothic" w:eastAsia="MS Gothic" w:hAnsi="MS Gothic" w:cs="Arial" w:hint="eastAsia"/>
                    <w:b/>
                    <w:sz w:val="24"/>
                    <w:lang w:val="en-US"/>
                  </w:rPr>
                  <w:t>☐</w:t>
                </w:r>
              </w:sdtContent>
            </w:sdt>
            <w:r w:rsidR="00F8325E" w:rsidRPr="00661CA4">
              <w:rPr>
                <w:rFonts w:ascii="Arial" w:hAnsi="Arial" w:cs="Arial"/>
                <w:sz w:val="24"/>
              </w:rPr>
              <w:t xml:space="preserve"> produktivní investice do malých a středních podniků, včetně mikropodniků a začínajících podniků, vedoucí k hospodářské diverzifikaci, modernizaci a přeměně;</w:t>
            </w:r>
          </w:p>
          <w:p w:rsidR="00F8325E" w:rsidRPr="00661CA4" w:rsidRDefault="008F66DD" w:rsidP="00661CA4">
            <w:pPr>
              <w:spacing w:before="60" w:after="60"/>
              <w:ind w:left="-14"/>
              <w:jc w:val="both"/>
              <w:rPr>
                <w:rFonts w:ascii="Arial" w:hAnsi="Arial" w:cs="Arial"/>
                <w:sz w:val="24"/>
              </w:rPr>
            </w:pPr>
            <w:sdt>
              <w:sdtPr>
                <w:rPr>
                  <w:rFonts w:ascii="MS Gothic" w:eastAsia="MS Gothic" w:hAnsi="MS Gothic" w:cs="Arial"/>
                  <w:b/>
                  <w:sz w:val="24"/>
                  <w:lang w:val="en-US"/>
                </w:rPr>
                <w:id w:val="-2124835636"/>
                <w14:checkbox>
                  <w14:checked w14:val="0"/>
                  <w14:checkedState w14:val="2612" w14:font="MS Gothic"/>
                  <w14:uncheckedState w14:val="2610" w14:font="MS Gothic"/>
                </w14:checkbox>
              </w:sdtPr>
              <w:sdtEndPr/>
              <w:sdtContent>
                <w:r w:rsidR="00C25026">
                  <w:rPr>
                    <w:rFonts w:ascii="MS Gothic" w:eastAsia="MS Gothic" w:hAnsi="MS Gothic" w:cs="Arial" w:hint="eastAsia"/>
                    <w:b/>
                    <w:sz w:val="24"/>
                    <w:lang w:val="en-US"/>
                  </w:rPr>
                  <w:t>☐</w:t>
                </w:r>
              </w:sdtContent>
            </w:sdt>
            <w:r w:rsidR="00F8325E" w:rsidRPr="00661CA4">
              <w:rPr>
                <w:rFonts w:ascii="Arial" w:hAnsi="Arial" w:cs="Arial"/>
                <w:sz w:val="24"/>
              </w:rPr>
              <w:t xml:space="preserve"> investice do zakládání nových firem, mimo jiné prostřednictvím podnikatelských inkubátorů a poradenských služeb, vedoucí k vytváření pracovních míst;</w:t>
            </w:r>
          </w:p>
          <w:p w:rsidR="00F8325E" w:rsidRPr="00661CA4" w:rsidRDefault="008F66DD" w:rsidP="00661CA4">
            <w:pPr>
              <w:spacing w:before="60" w:after="60"/>
              <w:ind w:left="-14"/>
              <w:jc w:val="both"/>
              <w:rPr>
                <w:rFonts w:ascii="Arial" w:hAnsi="Arial" w:cs="Arial"/>
                <w:sz w:val="24"/>
              </w:rPr>
            </w:pPr>
            <w:sdt>
              <w:sdtPr>
                <w:rPr>
                  <w:rFonts w:ascii="MS Gothic" w:eastAsia="MS Gothic" w:hAnsi="MS Gothic" w:cs="Arial"/>
                  <w:b/>
                  <w:sz w:val="24"/>
                  <w:lang w:val="en-US"/>
                </w:rPr>
                <w:id w:val="-1052928369"/>
                <w14:checkbox>
                  <w14:checked w14:val="0"/>
                  <w14:checkedState w14:val="2612" w14:font="MS Gothic"/>
                  <w14:uncheckedState w14:val="2610" w14:font="MS Gothic"/>
                </w14:checkbox>
              </w:sdtPr>
              <w:sdtEndPr/>
              <w:sdtContent>
                <w:r w:rsidR="00821E87">
                  <w:rPr>
                    <w:rFonts w:ascii="MS Gothic" w:eastAsia="MS Gothic" w:hAnsi="MS Gothic" w:cs="Arial" w:hint="eastAsia"/>
                    <w:b/>
                    <w:sz w:val="24"/>
                    <w:lang w:val="en-US"/>
                  </w:rPr>
                  <w:t>☐</w:t>
                </w:r>
              </w:sdtContent>
            </w:sdt>
            <w:r w:rsidR="00F8325E" w:rsidRPr="00661CA4">
              <w:rPr>
                <w:rFonts w:ascii="Arial" w:hAnsi="Arial" w:cs="Arial"/>
                <w:sz w:val="24"/>
              </w:rPr>
              <w:t xml:space="preserve"> investice do výzkumných a inovačních činností, mimo jiné ze strany univerzit a veřejných výzkumných institucí, a podpora přenosu pokročilých technologií;</w:t>
            </w:r>
          </w:p>
          <w:p w:rsidR="00F8325E" w:rsidRPr="00661CA4" w:rsidRDefault="008F66DD" w:rsidP="00661CA4">
            <w:pPr>
              <w:spacing w:before="60" w:after="60"/>
              <w:ind w:left="-14"/>
              <w:jc w:val="both"/>
              <w:rPr>
                <w:rFonts w:ascii="Arial" w:hAnsi="Arial" w:cs="Arial"/>
                <w:sz w:val="24"/>
              </w:rPr>
            </w:pPr>
            <w:sdt>
              <w:sdtPr>
                <w:rPr>
                  <w:rFonts w:ascii="MS Gothic" w:eastAsia="MS Gothic" w:hAnsi="MS Gothic" w:cs="Arial"/>
                  <w:b/>
                  <w:sz w:val="24"/>
                  <w:lang w:val="en-US"/>
                </w:rPr>
                <w:id w:val="1170597707"/>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investice do zavádění technologií a také do systémů a infrastruktur pro cenově dostupnou čistou energii, včetně technologií skladování energie, a do snižování emisí skleníkových plynů;</w:t>
            </w:r>
          </w:p>
          <w:p w:rsidR="00F8325E" w:rsidRPr="00661CA4" w:rsidRDefault="008F66DD" w:rsidP="00661CA4">
            <w:pPr>
              <w:spacing w:before="60" w:after="60"/>
              <w:ind w:left="-14"/>
              <w:jc w:val="both"/>
              <w:rPr>
                <w:rFonts w:ascii="Arial" w:hAnsi="Arial" w:cs="Arial"/>
                <w:sz w:val="24"/>
              </w:rPr>
            </w:pPr>
            <w:sdt>
              <w:sdtPr>
                <w:rPr>
                  <w:rFonts w:ascii="MS Gothic" w:eastAsia="MS Gothic" w:hAnsi="MS Gothic" w:cs="Arial"/>
                  <w:b/>
                  <w:sz w:val="24"/>
                  <w:lang w:val="en-US"/>
                </w:rPr>
                <w:id w:val="-1729674262"/>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investice do obnovitelné energie v souladu se směrnicí o obnovitelných zdrojích energie (EU) 2018/2001, včetně kritérií udržitelnosti v ní stanovených, a do energetické účinnosti, mimo jiné za účelem snižování energetické chudoby;</w:t>
            </w:r>
          </w:p>
          <w:p w:rsidR="00F8325E" w:rsidRPr="00661CA4" w:rsidRDefault="008F66DD" w:rsidP="00661CA4">
            <w:pPr>
              <w:spacing w:before="60" w:after="60"/>
              <w:ind w:left="-14"/>
              <w:jc w:val="both"/>
              <w:rPr>
                <w:rFonts w:ascii="Arial" w:hAnsi="Arial" w:cs="Arial"/>
                <w:sz w:val="24"/>
              </w:rPr>
            </w:pPr>
            <w:sdt>
              <w:sdtPr>
                <w:rPr>
                  <w:rFonts w:ascii="MS Gothic" w:eastAsia="MS Gothic" w:hAnsi="MS Gothic" w:cs="Arial"/>
                  <w:b/>
                  <w:sz w:val="24"/>
                  <w:lang w:val="en-US"/>
                </w:rPr>
                <w:id w:val="-1293738235"/>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investice do inteligentní a udržitelné místní mobility, včetně dekarbonizace místního dopravního sektoru a jeho infrastruktury;</w:t>
            </w:r>
          </w:p>
          <w:p w:rsidR="00F8325E" w:rsidRPr="00661CA4" w:rsidRDefault="008F66DD" w:rsidP="00661CA4">
            <w:pPr>
              <w:spacing w:before="60" w:after="60"/>
              <w:ind w:left="-14"/>
              <w:jc w:val="both"/>
              <w:rPr>
                <w:rFonts w:ascii="Arial" w:hAnsi="Arial" w:cs="Arial"/>
                <w:sz w:val="24"/>
              </w:rPr>
            </w:pPr>
            <w:sdt>
              <w:sdtPr>
                <w:rPr>
                  <w:rFonts w:ascii="MS Gothic" w:eastAsia="MS Gothic" w:hAnsi="MS Gothic" w:cs="Arial"/>
                  <w:b/>
                  <w:sz w:val="24"/>
                  <w:lang w:val="en-US"/>
                </w:rPr>
                <w:id w:val="1454826516"/>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investice do obnovy a modernizace sítí dálkového vytápění s cílem zlepšit energetickou účinnost systémů dálkového vytápění a investice do výroby tepla za předpokladu, že budou zásobovány výhradně obnovitelnými zdroji energie;</w:t>
            </w:r>
          </w:p>
          <w:p w:rsidR="00F8325E" w:rsidRPr="00661CA4" w:rsidRDefault="008F66DD" w:rsidP="00661CA4">
            <w:pPr>
              <w:spacing w:before="60" w:after="60"/>
              <w:ind w:left="-14"/>
              <w:jc w:val="both"/>
              <w:rPr>
                <w:rFonts w:ascii="Arial" w:hAnsi="Arial" w:cs="Arial"/>
                <w:sz w:val="24"/>
              </w:rPr>
            </w:pPr>
            <w:sdt>
              <w:sdtPr>
                <w:rPr>
                  <w:rFonts w:ascii="MS Gothic" w:eastAsia="MS Gothic" w:hAnsi="MS Gothic" w:cs="Arial"/>
                  <w:b/>
                  <w:sz w:val="24"/>
                  <w:lang w:val="en-US"/>
                </w:rPr>
                <w:id w:val="1074936774"/>
                <w14:checkbox>
                  <w14:checked w14:val="0"/>
                  <w14:checkedState w14:val="2612" w14:font="MS Gothic"/>
                  <w14:uncheckedState w14:val="2610" w14:font="MS Gothic"/>
                </w14:checkbox>
              </w:sdtPr>
              <w:sdtEndPr/>
              <w:sdtContent>
                <w:r w:rsidR="0054620D">
                  <w:rPr>
                    <w:rFonts w:ascii="MS Gothic" w:eastAsia="MS Gothic" w:hAnsi="MS Gothic" w:cs="Arial" w:hint="eastAsia"/>
                    <w:b/>
                    <w:sz w:val="24"/>
                    <w:lang w:val="en-US"/>
                  </w:rPr>
                  <w:t>☐</w:t>
                </w:r>
              </w:sdtContent>
            </w:sdt>
            <w:r w:rsidR="00F8325E" w:rsidRPr="00661CA4">
              <w:rPr>
                <w:rFonts w:ascii="Arial" w:hAnsi="Arial" w:cs="Arial"/>
                <w:sz w:val="24"/>
              </w:rPr>
              <w:t xml:space="preserve"> investice do digitalizace, digitální inovace a digitální konektivity;</w:t>
            </w:r>
          </w:p>
          <w:p w:rsidR="00F8325E" w:rsidRPr="00661CA4" w:rsidRDefault="008F66DD" w:rsidP="00661CA4">
            <w:pPr>
              <w:spacing w:before="60" w:after="60"/>
              <w:ind w:left="-14"/>
              <w:jc w:val="both"/>
              <w:rPr>
                <w:rFonts w:ascii="Arial" w:hAnsi="Arial" w:cs="Arial"/>
                <w:sz w:val="24"/>
              </w:rPr>
            </w:pPr>
            <w:sdt>
              <w:sdtPr>
                <w:rPr>
                  <w:rFonts w:ascii="MS Gothic" w:eastAsia="MS Gothic" w:hAnsi="MS Gothic" w:cs="Arial"/>
                  <w:b/>
                  <w:sz w:val="24"/>
                  <w:lang w:val="en-US"/>
                </w:rPr>
                <w:id w:val="1537462759"/>
                <w14:checkbox>
                  <w14:checked w14:val="1"/>
                  <w14:checkedState w14:val="2612" w14:font="MS Gothic"/>
                  <w14:uncheckedState w14:val="2610" w14:font="MS Gothic"/>
                </w14:checkbox>
              </w:sdtPr>
              <w:sdtEndPr/>
              <w:sdtContent>
                <w:r w:rsidR="0054620D">
                  <w:rPr>
                    <w:rFonts w:ascii="MS Gothic" w:eastAsia="MS Gothic" w:hAnsi="MS Gothic" w:cs="Arial" w:hint="eastAsia"/>
                    <w:b/>
                    <w:sz w:val="24"/>
                    <w:lang w:val="en-US"/>
                  </w:rPr>
                  <w:t>☒</w:t>
                </w:r>
              </w:sdtContent>
            </w:sdt>
            <w:r w:rsidR="00F8325E" w:rsidRPr="00661CA4">
              <w:rPr>
                <w:rFonts w:ascii="Arial" w:hAnsi="Arial" w:cs="Arial"/>
                <w:sz w:val="24"/>
              </w:rPr>
              <w:t xml:space="preserve"> investice do regenerace a dekontaminace brownfields, obnovy půdy a případně včetně zelené infrastruktury a projektů přeměny účelu, s přihlédnutím k zásadě „znečišťovatel platí“;</w:t>
            </w:r>
          </w:p>
          <w:p w:rsidR="00F8325E" w:rsidRPr="00661CA4" w:rsidRDefault="008F66DD" w:rsidP="00661CA4">
            <w:pPr>
              <w:spacing w:before="60" w:after="60"/>
              <w:ind w:left="-14"/>
              <w:jc w:val="both"/>
              <w:rPr>
                <w:rFonts w:ascii="Arial" w:hAnsi="Arial" w:cs="Arial"/>
                <w:sz w:val="24"/>
              </w:rPr>
            </w:pPr>
            <w:sdt>
              <w:sdtPr>
                <w:rPr>
                  <w:rFonts w:ascii="MS Gothic" w:eastAsia="MS Gothic" w:hAnsi="MS Gothic" w:cs="Arial"/>
                  <w:b/>
                  <w:sz w:val="24"/>
                  <w:lang w:val="en-US"/>
                </w:rPr>
                <w:id w:val="-427730966"/>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investice do posílení oběhového hospodářství, mimo jiné prostřednictvím předcházení vzniku odpadů, jejich snižování, účinného využívání zdrojů, opětovného použití, oprav a recyklace;</w:t>
            </w:r>
          </w:p>
          <w:p w:rsidR="00F8325E" w:rsidRPr="00661CA4" w:rsidRDefault="008F66DD" w:rsidP="00661CA4">
            <w:pPr>
              <w:spacing w:before="60" w:after="60"/>
              <w:ind w:left="-14"/>
              <w:jc w:val="both"/>
              <w:rPr>
                <w:rFonts w:ascii="Arial" w:hAnsi="Arial" w:cs="Arial"/>
                <w:sz w:val="24"/>
              </w:rPr>
            </w:pPr>
            <w:sdt>
              <w:sdtPr>
                <w:rPr>
                  <w:rFonts w:ascii="MS Gothic" w:eastAsia="MS Gothic" w:hAnsi="MS Gothic" w:cs="Arial"/>
                  <w:b/>
                  <w:sz w:val="24"/>
                  <w:lang w:val="en-US"/>
                </w:rPr>
                <w:id w:val="-184525825"/>
                <w14:checkbox>
                  <w14:checked w14:val="0"/>
                  <w14:checkedState w14:val="2612" w14:font="MS Gothic"/>
                  <w14:uncheckedState w14:val="2610" w14:font="MS Gothic"/>
                </w14:checkbox>
              </w:sdtPr>
              <w:sdtEndPr/>
              <w:sdtContent>
                <w:r w:rsidR="000A3560">
                  <w:rPr>
                    <w:rFonts w:ascii="MS Gothic" w:eastAsia="MS Gothic" w:hAnsi="MS Gothic" w:cs="Arial" w:hint="eastAsia"/>
                    <w:b/>
                    <w:sz w:val="24"/>
                    <w:lang w:val="en-US"/>
                  </w:rPr>
                  <w:t>☐</w:t>
                </w:r>
              </w:sdtContent>
            </w:sdt>
            <w:r w:rsidR="00F8325E" w:rsidRPr="00661CA4">
              <w:rPr>
                <w:rFonts w:ascii="Arial" w:hAnsi="Arial" w:cs="Arial"/>
                <w:sz w:val="24"/>
              </w:rPr>
              <w:t xml:space="preserve"> zvyšování kvalifikace a rekvalifikace pracovníků a uchazečů o zaměstnání;</w:t>
            </w:r>
          </w:p>
          <w:p w:rsidR="00F8325E" w:rsidRPr="00661CA4" w:rsidRDefault="008F66DD" w:rsidP="00661CA4">
            <w:pPr>
              <w:spacing w:before="60" w:after="60"/>
              <w:ind w:left="-14"/>
              <w:jc w:val="both"/>
              <w:rPr>
                <w:rFonts w:ascii="Arial" w:hAnsi="Arial" w:cs="Arial"/>
                <w:sz w:val="24"/>
              </w:rPr>
            </w:pPr>
            <w:sdt>
              <w:sdtPr>
                <w:rPr>
                  <w:rFonts w:ascii="MS Gothic" w:eastAsia="MS Gothic" w:hAnsi="MS Gothic" w:cs="Arial"/>
                  <w:b/>
                  <w:sz w:val="24"/>
                  <w:lang w:val="en-US"/>
                </w:rPr>
                <w:id w:val="-1799133754"/>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pomoc při hledání zaměstnání pro uchazeče o zaměstnání;</w:t>
            </w:r>
          </w:p>
          <w:p w:rsidR="00F8325E" w:rsidRPr="00661CA4" w:rsidRDefault="008F66DD" w:rsidP="00661CA4">
            <w:pPr>
              <w:spacing w:before="60" w:after="60"/>
              <w:ind w:left="-14"/>
              <w:jc w:val="both"/>
              <w:rPr>
                <w:rFonts w:ascii="Arial" w:hAnsi="Arial" w:cs="Arial"/>
                <w:sz w:val="24"/>
              </w:rPr>
            </w:pPr>
            <w:sdt>
              <w:sdtPr>
                <w:rPr>
                  <w:rFonts w:ascii="MS Gothic" w:eastAsia="MS Gothic" w:hAnsi="MS Gothic" w:cs="Arial"/>
                  <w:b/>
                  <w:sz w:val="24"/>
                  <w:lang w:val="en-US"/>
                </w:rPr>
                <w:id w:val="-1047759733"/>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aktivní začleňování uchazečů o zaměstnání;</w:t>
            </w:r>
          </w:p>
          <w:p w:rsidR="00F8325E" w:rsidRPr="00661CA4" w:rsidRDefault="008F66DD" w:rsidP="00661CA4">
            <w:pPr>
              <w:spacing w:before="60" w:after="60"/>
              <w:ind w:left="-14"/>
              <w:jc w:val="both"/>
              <w:rPr>
                <w:rFonts w:ascii="Arial" w:hAnsi="Arial" w:cs="Arial"/>
                <w:sz w:val="24"/>
              </w:rPr>
            </w:pPr>
            <w:sdt>
              <w:sdtPr>
                <w:rPr>
                  <w:rFonts w:ascii="MS Gothic" w:eastAsia="MS Gothic" w:hAnsi="MS Gothic" w:cs="Arial"/>
                  <w:b/>
                  <w:sz w:val="24"/>
                  <w:lang w:val="en-US"/>
                </w:rPr>
                <w:id w:val="1320848694"/>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technická pomoc;</w:t>
            </w:r>
          </w:p>
          <w:p w:rsidR="00F8325E" w:rsidRDefault="008F66DD" w:rsidP="00661CA4">
            <w:pPr>
              <w:spacing w:before="60" w:after="60"/>
              <w:ind w:left="-14"/>
              <w:jc w:val="both"/>
              <w:rPr>
                <w:rFonts w:ascii="Arial" w:hAnsi="Arial" w:cs="Arial"/>
                <w:sz w:val="24"/>
              </w:rPr>
            </w:pPr>
            <w:sdt>
              <w:sdtPr>
                <w:rPr>
                  <w:rFonts w:ascii="MS Gothic" w:eastAsia="MS Gothic" w:hAnsi="MS Gothic" w:cs="Arial"/>
                  <w:b/>
                  <w:sz w:val="24"/>
                  <w:lang w:val="en-US"/>
                </w:rPr>
                <w:id w:val="-1130467589"/>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další činnosti v oblasti vzdělávání a sociálního začleňování včetně, je-li to odůvodněno, infrastruktury pro účely školicích středisek, zařízení péče o děti a seniory, jak je uvedeno v územních plánech spravedlivé transformace v souladu s článkem 11 nařízení o Fondu spravedlivého přechodu.</w:t>
            </w:r>
          </w:p>
          <w:p w:rsidR="0029017D" w:rsidRDefault="0029017D" w:rsidP="00661CA4">
            <w:pPr>
              <w:spacing w:before="60" w:after="60"/>
              <w:ind w:left="-14"/>
              <w:jc w:val="both"/>
              <w:rPr>
                <w:rFonts w:ascii="Arial" w:hAnsi="Arial" w:cs="Arial"/>
                <w:sz w:val="24"/>
              </w:rPr>
            </w:pPr>
          </w:p>
          <w:p w:rsidR="00C25026" w:rsidRPr="00661CA4" w:rsidRDefault="00C25026" w:rsidP="00661CA4">
            <w:pPr>
              <w:spacing w:before="60" w:after="60"/>
              <w:ind w:left="-14"/>
              <w:jc w:val="both"/>
              <w:rPr>
                <w:rFonts w:ascii="Arial" w:hAnsi="Arial" w:cs="Arial"/>
                <w:sz w:val="24"/>
              </w:rPr>
            </w:pPr>
          </w:p>
        </w:tc>
      </w:tr>
    </w:tbl>
    <w:p w:rsidR="007F0941" w:rsidRDefault="007F0941">
      <w:pPr>
        <w:jc w:val="both"/>
        <w:rPr>
          <w:rFonts w:ascii="Arial" w:hAnsi="Arial" w:cs="Arial"/>
        </w:rPr>
      </w:pPr>
    </w:p>
    <w:tbl>
      <w:tblPr>
        <w:tblStyle w:val="Mkatabulky"/>
        <w:tblW w:w="9445" w:type="dxa"/>
        <w:tblLook w:val="04A0" w:firstRow="1" w:lastRow="0" w:firstColumn="1" w:lastColumn="0" w:noHBand="0" w:noVBand="1"/>
      </w:tblPr>
      <w:tblGrid>
        <w:gridCol w:w="9445"/>
      </w:tblGrid>
      <w:tr w:rsidR="007F0941" w:rsidTr="00661CA4">
        <w:tc>
          <w:tcPr>
            <w:tcW w:w="9445" w:type="dxa"/>
            <w:shd w:val="clear" w:color="auto" w:fill="D9D9D9" w:themeFill="background1" w:themeFillShade="D9"/>
          </w:tcPr>
          <w:p w:rsidR="00C25026" w:rsidRDefault="00C25026" w:rsidP="00CA5EF6">
            <w:pPr>
              <w:jc w:val="both"/>
              <w:rPr>
                <w:rFonts w:ascii="Arial" w:hAnsi="Arial" w:cs="Arial"/>
                <w:b/>
                <w:sz w:val="24"/>
              </w:rPr>
            </w:pPr>
            <w:r>
              <w:rPr>
                <w:rFonts w:ascii="Arial" w:hAnsi="Arial" w:cs="Arial"/>
                <w:b/>
                <w:sz w:val="24"/>
              </w:rPr>
              <w:t>Sladění s požadavky článků 8 a 11 pro produktivní investice jiných než malých a středních podniků</w:t>
            </w:r>
          </w:p>
          <w:p w:rsidR="00C25026" w:rsidRDefault="00C25026" w:rsidP="00CA5EF6">
            <w:pPr>
              <w:jc w:val="both"/>
              <w:rPr>
                <w:rFonts w:ascii="Arial" w:hAnsi="Arial" w:cs="Arial"/>
                <w:b/>
                <w:sz w:val="24"/>
              </w:rPr>
            </w:pPr>
          </w:p>
          <w:p w:rsidR="00C25026" w:rsidRDefault="00C25026" w:rsidP="00CA5EF6">
            <w:pPr>
              <w:jc w:val="both"/>
              <w:rPr>
                <w:rFonts w:ascii="Arial" w:hAnsi="Arial" w:cs="Arial"/>
                <w:b/>
                <w:i/>
                <w:sz w:val="24"/>
              </w:rPr>
            </w:pPr>
            <w:r>
              <w:rPr>
                <w:rFonts w:ascii="Arial" w:hAnsi="Arial" w:cs="Arial"/>
                <w:b/>
                <w:i/>
                <w:sz w:val="24"/>
              </w:rPr>
              <w:t>článek 8"</w:t>
            </w:r>
            <w:r w:rsidRPr="00FB0EFD">
              <w:rPr>
                <w:i/>
              </w:rPr>
              <w:t xml:space="preserve">JTF může v oblastech označených jako podporované oblasti v souladu s čl. 107 odst. 3 písm. a) ac) SFEU podporovat produktivní investice do jiných podniků než malých a středních podniků, pokud byly tyto investice schváleny jako součást územní plán spravedlivého přechodu na základě informací </w:t>
            </w:r>
            <w:r w:rsidRPr="00FB0EFD">
              <w:rPr>
                <w:i/>
              </w:rPr>
              <w:lastRenderedPageBreak/>
              <w:t>požadovaných podle čl. 7 odst. 2 písm. h). Takové investice jsou způsobilé pouze tehdy, jsou-li nezbytné pro realizaci územního plánu spravedlivé transformace.“</w:t>
            </w:r>
          </w:p>
          <w:p w:rsidR="00C25026" w:rsidRDefault="00C25026" w:rsidP="00CA5EF6">
            <w:pPr>
              <w:jc w:val="both"/>
              <w:rPr>
                <w:rFonts w:ascii="Arial" w:hAnsi="Arial" w:cs="Arial"/>
                <w:b/>
                <w:i/>
                <w:sz w:val="24"/>
              </w:rPr>
            </w:pPr>
          </w:p>
          <w:p w:rsidR="00C25026" w:rsidRPr="00C25026" w:rsidRDefault="00FF54B4" w:rsidP="00CA5EF6">
            <w:pPr>
              <w:jc w:val="both"/>
              <w:rPr>
                <w:rFonts w:ascii="Arial" w:hAnsi="Arial" w:cs="Arial"/>
                <w:b/>
                <w:sz w:val="24"/>
              </w:rPr>
            </w:pPr>
            <w:r>
              <w:rPr>
                <w:rFonts w:ascii="Arial" w:hAnsi="Arial" w:cs="Arial"/>
                <w:b/>
                <w:i/>
                <w:sz w:val="24"/>
              </w:rPr>
              <w:t>11 odst. 2 "</w:t>
            </w:r>
            <w:r w:rsidR="00C25026" w:rsidRPr="00FB0EFD">
              <w:rPr>
                <w:i/>
              </w:rPr>
              <w:t>pokud je poskytována podpora produktivním investicím podnikům jiným než malým a středním podnikům, úplný seznam těchto operací a podniků a zdůvodnění nezbytnosti takové podpory prostřednictvím analýzy mezer prokazující, že očekávaná ztráta pracovních míst by převýšila očekávaný počet pracovních míst vytvořených v absence investice;"</w:t>
            </w:r>
          </w:p>
          <w:p w:rsidR="007F0941" w:rsidRDefault="00C25026" w:rsidP="00CA5EF6">
            <w:pPr>
              <w:jc w:val="both"/>
              <w:rPr>
                <w:rFonts w:ascii="Arial" w:hAnsi="Arial" w:cs="Arial"/>
              </w:rPr>
            </w:pPr>
            <w:r>
              <w:rPr>
                <w:rFonts w:ascii="Arial" w:hAnsi="Arial" w:cs="Arial"/>
                <w:b/>
                <w:sz w:val="24"/>
              </w:rPr>
              <w:t xml:space="preserve"> </w:t>
            </w:r>
          </w:p>
        </w:tc>
      </w:tr>
      <w:tr w:rsidR="007F0941" w:rsidTr="00661CA4">
        <w:tc>
          <w:tcPr>
            <w:tcW w:w="9445" w:type="dxa"/>
          </w:tcPr>
          <w:p w:rsidR="007F0941" w:rsidRDefault="007F0941">
            <w:pPr>
              <w:jc w:val="both"/>
              <w:rPr>
                <w:rFonts w:ascii="Arial" w:hAnsi="Arial" w:cs="Arial"/>
              </w:rPr>
            </w:pPr>
          </w:p>
          <w:p w:rsidR="007F0941" w:rsidRPr="00B74ECC" w:rsidRDefault="00B74ECC">
            <w:pPr>
              <w:jc w:val="both"/>
              <w:rPr>
                <w:rFonts w:ascii="Arial" w:hAnsi="Arial" w:cs="Arial"/>
                <w:i/>
              </w:rPr>
            </w:pPr>
            <w:r w:rsidRPr="00B74ECC">
              <w:rPr>
                <w:rFonts w:ascii="Arial" w:hAnsi="Arial" w:cs="Arial"/>
                <w:i/>
              </w:rPr>
              <w:t>Nelze použít</w:t>
            </w:r>
          </w:p>
          <w:p w:rsidR="007F0941" w:rsidRDefault="007F0941">
            <w:pPr>
              <w:jc w:val="both"/>
              <w:rPr>
                <w:rFonts w:ascii="Arial" w:hAnsi="Arial" w:cs="Arial"/>
              </w:rPr>
            </w:pPr>
          </w:p>
        </w:tc>
      </w:tr>
    </w:tbl>
    <w:p w:rsidR="007F0941" w:rsidRDefault="007F0941">
      <w:pPr>
        <w:jc w:val="both"/>
      </w:pPr>
    </w:p>
    <w:tbl>
      <w:tblPr>
        <w:tblStyle w:val="Mkatabulky"/>
        <w:tblW w:w="9445" w:type="dxa"/>
        <w:tblLook w:val="04A0" w:firstRow="1" w:lastRow="0" w:firstColumn="1" w:lastColumn="0" w:noHBand="0" w:noVBand="1"/>
      </w:tblPr>
      <w:tblGrid>
        <w:gridCol w:w="9445"/>
      </w:tblGrid>
      <w:tr w:rsidR="00D902BA" w:rsidTr="006F4D89">
        <w:tc>
          <w:tcPr>
            <w:tcW w:w="9445" w:type="dxa"/>
            <w:shd w:val="clear" w:color="auto" w:fill="D9D9D9" w:themeFill="background1" w:themeFillShade="D9"/>
          </w:tcPr>
          <w:p w:rsidR="00D902BA" w:rsidRDefault="00D902BA">
            <w:pPr>
              <w:jc w:val="both"/>
              <w:rPr>
                <w:rFonts w:ascii="Arial" w:hAnsi="Arial" w:cs="Arial"/>
              </w:rPr>
            </w:pPr>
            <w:r>
              <w:rPr>
                <w:rFonts w:ascii="Arial" w:hAnsi="Arial" w:cs="Arial"/>
                <w:b/>
                <w:sz w:val="24"/>
              </w:rPr>
              <w:t>doporučení JASPERS (pokud existují)</w:t>
            </w:r>
          </w:p>
        </w:tc>
      </w:tr>
      <w:tr w:rsidR="00D902BA" w:rsidTr="006F4D89">
        <w:tc>
          <w:tcPr>
            <w:tcW w:w="9445" w:type="dxa"/>
          </w:tcPr>
          <w:p w:rsidR="000D2ABA" w:rsidRDefault="000D2ABA">
            <w:pPr>
              <w:jc w:val="both"/>
              <w:rPr>
                <w:rFonts w:ascii="Arial" w:hAnsi="Arial" w:cs="Arial"/>
                <w:i/>
              </w:rPr>
            </w:pPr>
          </w:p>
          <w:p w:rsidR="00D902BA" w:rsidRDefault="0008508E">
            <w:pPr>
              <w:jc w:val="both"/>
              <w:rPr>
                <w:rFonts w:ascii="Arial" w:hAnsi="Arial" w:cs="Arial"/>
                <w:i/>
              </w:rPr>
            </w:pPr>
            <w:r w:rsidRPr="00EC5463">
              <w:rPr>
                <w:rFonts w:ascii="Arial" w:hAnsi="Arial" w:cs="Arial"/>
                <w:i/>
              </w:rPr>
              <w:t xml:space="preserve">Žádný </w:t>
            </w:r>
          </w:p>
          <w:p w:rsidR="000D2ABA" w:rsidRDefault="000D2ABA">
            <w:pPr>
              <w:jc w:val="both"/>
              <w:rPr>
                <w:rFonts w:ascii="Arial" w:hAnsi="Arial" w:cs="Arial"/>
              </w:rPr>
            </w:pPr>
          </w:p>
        </w:tc>
      </w:tr>
    </w:tbl>
    <w:p w:rsidR="00D902BA" w:rsidRDefault="00D902BA">
      <w:pPr>
        <w:jc w:val="both"/>
      </w:pPr>
    </w:p>
    <w:p w:rsidR="00C25026" w:rsidRDefault="00C25026" w:rsidP="00C25026">
      <w:pPr>
        <w:jc w:val="both"/>
        <w:rPr>
          <w:rFonts w:ascii="Arial" w:hAnsi="Arial" w:cs="Arial"/>
          <w:b/>
          <w:sz w:val="24"/>
          <w:u w:val="single"/>
        </w:rPr>
      </w:pPr>
      <w:r>
        <w:rPr>
          <w:rFonts w:ascii="Arial" w:hAnsi="Arial" w:cs="Arial"/>
          <w:b/>
          <w:sz w:val="24"/>
          <w:u w:val="single"/>
        </w:rPr>
        <w:t>Kritéria hodnocení projektu</w:t>
      </w:r>
    </w:p>
    <w:p w:rsidR="00C300DE" w:rsidRDefault="00C300DE">
      <w:pPr>
        <w:jc w:val="both"/>
      </w:pPr>
    </w:p>
    <w:tbl>
      <w:tblPr>
        <w:tblStyle w:val="Mkatabulky"/>
        <w:tblW w:w="9445" w:type="dxa"/>
        <w:tblLook w:val="04A0" w:firstRow="1" w:lastRow="0" w:firstColumn="1" w:lastColumn="0" w:noHBand="0" w:noVBand="1"/>
      </w:tblPr>
      <w:tblGrid>
        <w:gridCol w:w="9445"/>
      </w:tblGrid>
      <w:tr w:rsidR="00F8325E" w:rsidTr="00F8325E">
        <w:tc>
          <w:tcPr>
            <w:tcW w:w="9445" w:type="dxa"/>
            <w:shd w:val="clear" w:color="auto" w:fill="D9D9D9" w:themeFill="background1" w:themeFillShade="D9"/>
          </w:tcPr>
          <w:p w:rsidR="00F8325E" w:rsidRDefault="00F8325E" w:rsidP="00256D89">
            <w:pPr>
              <w:spacing w:before="60" w:after="60"/>
              <w:jc w:val="both"/>
              <w:rPr>
                <w:rFonts w:ascii="Arial" w:hAnsi="Arial" w:cs="Arial"/>
                <w:b/>
                <w:sz w:val="24"/>
              </w:rPr>
            </w:pPr>
            <w:r>
              <w:rPr>
                <w:rFonts w:ascii="Arial" w:hAnsi="Arial" w:cs="Arial"/>
                <w:b/>
                <w:sz w:val="24"/>
              </w:rPr>
              <w:t>Proveditelnost projektu</w:t>
            </w:r>
          </w:p>
        </w:tc>
      </w:tr>
      <w:tr w:rsidR="00F8325E" w:rsidTr="00F8325E">
        <w:tc>
          <w:tcPr>
            <w:tcW w:w="9445" w:type="dxa"/>
          </w:tcPr>
          <w:p w:rsidR="00F8325E" w:rsidRDefault="00C25026">
            <w:pPr>
              <w:pStyle w:val="Odstavecseseznamem"/>
              <w:numPr>
                <w:ilvl w:val="0"/>
                <w:numId w:val="9"/>
              </w:numPr>
              <w:spacing w:before="60" w:after="60"/>
              <w:jc w:val="both"/>
              <w:rPr>
                <w:rFonts w:ascii="Arial" w:hAnsi="Arial" w:cs="Arial"/>
                <w:sz w:val="24"/>
                <w:szCs w:val="24"/>
                <w:u w:val="single"/>
              </w:rPr>
            </w:pPr>
            <w:r>
              <w:rPr>
                <w:rFonts w:ascii="Arial" w:hAnsi="Arial" w:cs="Arial"/>
                <w:sz w:val="24"/>
                <w:szCs w:val="24"/>
                <w:u w:val="single"/>
              </w:rPr>
              <w:t>Rozsah a harmonogram projektu</w:t>
            </w:r>
          </w:p>
          <w:p w:rsidR="00B74ECC" w:rsidRDefault="00B74ECC" w:rsidP="00B74ECC">
            <w:pPr>
              <w:pStyle w:val="Odstavecseseznamem"/>
              <w:spacing w:before="60" w:after="60"/>
              <w:jc w:val="both"/>
              <w:rPr>
                <w:rFonts w:ascii="Arial" w:hAnsi="Arial" w:cs="Arial"/>
                <w:i/>
                <w:sz w:val="24"/>
                <w:szCs w:val="24"/>
              </w:rPr>
            </w:pPr>
          </w:p>
          <w:p w:rsidR="00B74ECC" w:rsidRPr="00B74ECC" w:rsidRDefault="00EC5463" w:rsidP="00B74ECC">
            <w:pPr>
              <w:spacing w:before="60" w:after="60"/>
              <w:jc w:val="both"/>
              <w:rPr>
                <w:rFonts w:ascii="Arial" w:hAnsi="Arial" w:cs="Arial"/>
                <w:color w:val="202124"/>
                <w:shd w:val="clear" w:color="auto" w:fill="FFFFFF"/>
              </w:rPr>
            </w:pPr>
            <w:r>
              <w:rPr>
                <w:rFonts w:ascii="Arial" w:hAnsi="Arial" w:cs="Arial"/>
                <w:color w:val="202124"/>
                <w:shd w:val="clear" w:color="auto" w:fill="FFFFFF"/>
              </w:rPr>
              <w:t xml:space="preserve">Bylo poskytnuto dostatečné množství informací, které nám umožňují porozumět širokému rozsahu projektu, jeho nákladům a cílům a cestě vývoje. </w:t>
            </w:r>
          </w:p>
          <w:p w:rsidR="00B74ECC" w:rsidRPr="00B74ECC" w:rsidRDefault="00B74ECC" w:rsidP="00B74ECC">
            <w:pPr>
              <w:spacing w:before="60" w:after="60"/>
              <w:jc w:val="both"/>
              <w:rPr>
                <w:rFonts w:ascii="Arial" w:hAnsi="Arial" w:cs="Arial"/>
                <w:color w:val="202124"/>
                <w:shd w:val="clear" w:color="auto" w:fill="FFFFFF"/>
              </w:rPr>
            </w:pPr>
          </w:p>
          <w:p w:rsidR="00F8325E" w:rsidRPr="000D2ABA" w:rsidRDefault="00B74ECC" w:rsidP="000D2ABA">
            <w:pPr>
              <w:spacing w:before="60" w:after="60"/>
              <w:jc w:val="both"/>
              <w:rPr>
                <w:rFonts w:ascii="Arial" w:hAnsi="Arial" w:cs="Arial"/>
                <w:color w:val="202124"/>
                <w:shd w:val="clear" w:color="auto" w:fill="FFFFFF"/>
              </w:rPr>
            </w:pPr>
            <w:r w:rsidRPr="00B74ECC">
              <w:rPr>
                <w:rFonts w:ascii="Arial" w:hAnsi="Arial" w:cs="Arial"/>
                <w:color w:val="202124"/>
                <w:shd w:val="clear" w:color="auto" w:fill="FFFFFF"/>
              </w:rPr>
              <w:t>Časový harmonogram projektu je šest let. To by mělo být více než dostatečné, vzhledem k tomu, že není zahrnuta výstavba.</w:t>
            </w:r>
          </w:p>
        </w:tc>
      </w:tr>
      <w:tr w:rsidR="00F8325E" w:rsidTr="00F8325E">
        <w:tc>
          <w:tcPr>
            <w:tcW w:w="9445" w:type="dxa"/>
          </w:tcPr>
          <w:p w:rsidR="00F8325E" w:rsidRDefault="00F8325E">
            <w:pPr>
              <w:pStyle w:val="Odstavecseseznamem"/>
              <w:numPr>
                <w:ilvl w:val="0"/>
                <w:numId w:val="9"/>
              </w:numPr>
              <w:spacing w:before="60" w:after="60"/>
              <w:jc w:val="both"/>
              <w:rPr>
                <w:rFonts w:ascii="Arial" w:hAnsi="Arial" w:cs="Arial"/>
                <w:sz w:val="24"/>
                <w:szCs w:val="24"/>
                <w:u w:val="single"/>
              </w:rPr>
            </w:pPr>
            <w:r>
              <w:rPr>
                <w:rFonts w:ascii="Arial" w:hAnsi="Arial" w:cs="Arial"/>
                <w:sz w:val="24"/>
                <w:szCs w:val="24"/>
                <w:u w:val="single"/>
              </w:rPr>
              <w:t>Institucionální kapacita</w:t>
            </w:r>
          </w:p>
          <w:p w:rsidR="008A3687" w:rsidRPr="008A3687" w:rsidRDefault="00B74ECC" w:rsidP="008A3687">
            <w:pPr>
              <w:spacing w:before="60" w:after="60"/>
              <w:jc w:val="both"/>
              <w:rPr>
                <w:rFonts w:ascii="Arial" w:hAnsi="Arial" w:cs="Arial"/>
                <w:color w:val="202124"/>
                <w:shd w:val="clear" w:color="auto" w:fill="FFFFFF"/>
              </w:rPr>
            </w:pPr>
            <w:r w:rsidRPr="008A3687">
              <w:rPr>
                <w:rFonts w:ascii="Arial" w:hAnsi="Arial" w:cs="Arial"/>
                <w:color w:val="202124"/>
                <w:shd w:val="clear" w:color="auto" w:fill="FFFFFF"/>
              </w:rPr>
              <w:t>Technickou kapacitu promotéra je těžké posoudit. Kraj realizoval řadu investičních projektů, z nichž největší – škola – stála kolem 14 mil. EUR. Za předpokladu, že v tomto obrázku je zahrnuta stavba, je nepravděpodobné, že by související přípravné práce byly srovnatelného rozsahu nebo složitosti jako navrhovaný projekt. Protože však projekt nezahrnuje skutečnou výstavbu parku, zjevný nedostatek (prokázaných) zkušeností předkladatelů nemusí být hlavním problémem.</w:t>
            </w:r>
          </w:p>
          <w:p w:rsidR="008A3687" w:rsidRPr="008A3687" w:rsidRDefault="008A3687" w:rsidP="008A3687">
            <w:pPr>
              <w:spacing w:before="60" w:after="60"/>
              <w:jc w:val="both"/>
              <w:rPr>
                <w:rFonts w:ascii="Arial" w:hAnsi="Arial" w:cs="Arial"/>
                <w:color w:val="202124"/>
                <w:shd w:val="clear" w:color="auto" w:fill="FFFFFF"/>
              </w:rPr>
            </w:pPr>
          </w:p>
          <w:p w:rsidR="0008508E" w:rsidRDefault="008A3687" w:rsidP="008A3687">
            <w:pPr>
              <w:spacing w:before="60" w:after="60"/>
              <w:jc w:val="both"/>
              <w:rPr>
                <w:rFonts w:ascii="Arial" w:hAnsi="Arial" w:cs="Arial"/>
                <w:color w:val="202124"/>
                <w:shd w:val="clear" w:color="auto" w:fill="FFFFFF"/>
              </w:rPr>
            </w:pPr>
            <w:r w:rsidRPr="008A3687">
              <w:rPr>
                <w:rFonts w:ascii="Arial" w:hAnsi="Arial" w:cs="Arial"/>
                <w:color w:val="202124"/>
                <w:shd w:val="clear" w:color="auto" w:fill="FFFFFF"/>
              </w:rPr>
              <w:t>Předkladatel (kraj) bude projekt spolufinancovat (cca 2,65 mil. EUR). Nejsou žádné provozní náklady. Nejsou poskytovány informace o rozpočtu krajů ani o jeho finančním zdraví; vzhledem k relativně nízké částce však není důvod pochybovat o její schopnosti spolufinancování.</w:t>
            </w:r>
          </w:p>
          <w:p w:rsidR="00B74ECC" w:rsidRPr="000D2ABA" w:rsidRDefault="0008508E" w:rsidP="008A3687">
            <w:pPr>
              <w:spacing w:before="60" w:after="60"/>
              <w:jc w:val="both"/>
              <w:rPr>
                <w:rFonts w:ascii="Arial" w:hAnsi="Arial" w:cs="Arial"/>
                <w:color w:val="202124"/>
                <w:shd w:val="clear" w:color="auto" w:fill="FFFFFF"/>
              </w:rPr>
            </w:pPr>
            <w:r>
              <w:rPr>
                <w:rFonts w:ascii="Arial" w:hAnsi="Arial" w:cs="Arial"/>
                <w:color w:val="202124"/>
                <w:shd w:val="clear" w:color="auto" w:fill="FFFFFF"/>
              </w:rPr>
              <w:t>Předkladatel identifikoval různé zdroje financování budoucí výstavby parku, včetně Národního plánu obnovy, IROP, OP TAK a 2. a 3. pilíře Mechanismu spravedlivé transformace (JT).</w:t>
            </w:r>
          </w:p>
        </w:tc>
      </w:tr>
      <w:tr w:rsidR="00F8325E" w:rsidTr="00F8325E">
        <w:tc>
          <w:tcPr>
            <w:tcW w:w="9445" w:type="dxa"/>
          </w:tcPr>
          <w:p w:rsidR="00F8325E" w:rsidRDefault="00F8325E">
            <w:pPr>
              <w:pStyle w:val="Odstavecseseznamem"/>
              <w:numPr>
                <w:ilvl w:val="0"/>
                <w:numId w:val="9"/>
              </w:numPr>
              <w:spacing w:before="60" w:after="60"/>
              <w:jc w:val="both"/>
              <w:rPr>
                <w:rFonts w:ascii="Arial" w:hAnsi="Arial" w:cs="Arial"/>
                <w:sz w:val="24"/>
                <w:szCs w:val="24"/>
                <w:u w:val="single"/>
              </w:rPr>
            </w:pPr>
            <w:r>
              <w:rPr>
                <w:rFonts w:ascii="Arial" w:hAnsi="Arial" w:cs="Arial"/>
                <w:sz w:val="24"/>
                <w:szCs w:val="24"/>
                <w:u w:val="single"/>
              </w:rPr>
              <w:t>Technická proveditelnost</w:t>
            </w:r>
          </w:p>
          <w:p w:rsidR="008A3687" w:rsidRDefault="008A3687" w:rsidP="008A3687">
            <w:pPr>
              <w:spacing w:before="60" w:after="60"/>
              <w:jc w:val="both"/>
              <w:rPr>
                <w:rFonts w:ascii="Arial" w:hAnsi="Arial" w:cs="Arial"/>
                <w:i/>
                <w:sz w:val="24"/>
                <w:szCs w:val="24"/>
              </w:rPr>
            </w:pPr>
          </w:p>
          <w:p w:rsidR="0008508E" w:rsidRDefault="008A3687" w:rsidP="008A3687">
            <w:pPr>
              <w:spacing w:before="60" w:after="60"/>
              <w:jc w:val="both"/>
              <w:rPr>
                <w:rFonts w:ascii="Arial" w:hAnsi="Arial" w:cs="Arial"/>
                <w:color w:val="202124"/>
                <w:shd w:val="clear" w:color="auto" w:fill="FFFFFF"/>
              </w:rPr>
            </w:pPr>
            <w:r w:rsidRPr="008A3687">
              <w:rPr>
                <w:rFonts w:ascii="Arial" w:hAnsi="Arial" w:cs="Arial"/>
                <w:color w:val="202124"/>
                <w:shd w:val="clear" w:color="auto" w:fill="FFFFFF"/>
              </w:rPr>
              <w:t>K dispozici jsou omezené informace o velikosti projektu, kromě pozemku – 20 ha – a kapacity parku – asi 50 podniků. Bez informací o poptávce po zařízeních ze strany podniků je těžké se vyjádřit k tomu, zda je velikost parku přiměřená.</w:t>
            </w:r>
          </w:p>
          <w:p w:rsidR="0008508E" w:rsidRDefault="0008508E" w:rsidP="008A3687">
            <w:pPr>
              <w:spacing w:before="60" w:after="60"/>
              <w:jc w:val="both"/>
              <w:rPr>
                <w:rFonts w:ascii="Arial" w:hAnsi="Arial" w:cs="Arial"/>
                <w:color w:val="202124"/>
                <w:shd w:val="clear" w:color="auto" w:fill="FFFFFF"/>
              </w:rPr>
            </w:pPr>
          </w:p>
          <w:p w:rsidR="00F8325E" w:rsidRPr="008A3687" w:rsidRDefault="0008508E" w:rsidP="0008508E">
            <w:pPr>
              <w:spacing w:before="60" w:after="60"/>
              <w:jc w:val="both"/>
              <w:rPr>
                <w:rFonts w:ascii="Arial" w:hAnsi="Arial" w:cs="Arial"/>
                <w:i/>
                <w:sz w:val="24"/>
                <w:szCs w:val="24"/>
              </w:rPr>
            </w:pPr>
            <w:r>
              <w:rPr>
                <w:rFonts w:ascii="Arial" w:hAnsi="Arial" w:cs="Arial"/>
                <w:color w:val="202124"/>
                <w:shd w:val="clear" w:color="auto" w:fill="FFFFFF"/>
              </w:rPr>
              <w:lastRenderedPageBreak/>
              <w:t>Projekt zahrnuje spíše přípravné činnosti než výstavbu a následný provoz parku, takže je technicky jednoduchý.</w:t>
            </w:r>
          </w:p>
        </w:tc>
      </w:tr>
      <w:tr w:rsidR="00F8325E" w:rsidTr="00F8325E">
        <w:tc>
          <w:tcPr>
            <w:tcW w:w="9445" w:type="dxa"/>
          </w:tcPr>
          <w:p w:rsidR="00F8325E" w:rsidRDefault="00C25026">
            <w:pPr>
              <w:pStyle w:val="Odstavecseseznamem"/>
              <w:numPr>
                <w:ilvl w:val="0"/>
                <w:numId w:val="9"/>
              </w:numPr>
              <w:spacing w:before="60" w:after="60"/>
              <w:jc w:val="both"/>
              <w:rPr>
                <w:rFonts w:ascii="Arial" w:hAnsi="Arial" w:cs="Arial"/>
                <w:sz w:val="24"/>
                <w:szCs w:val="24"/>
                <w:u w:val="single"/>
              </w:rPr>
            </w:pPr>
            <w:r>
              <w:rPr>
                <w:rFonts w:ascii="Arial" w:hAnsi="Arial" w:cs="Arial"/>
                <w:sz w:val="24"/>
                <w:szCs w:val="24"/>
                <w:u w:val="single"/>
              </w:rPr>
              <w:lastRenderedPageBreak/>
              <w:t>Finanční proveditelnost</w:t>
            </w:r>
          </w:p>
          <w:p w:rsidR="008A3687" w:rsidRDefault="008A3687" w:rsidP="008A3687">
            <w:pPr>
              <w:spacing w:before="60" w:after="60"/>
              <w:jc w:val="both"/>
              <w:rPr>
                <w:rFonts w:ascii="Arial" w:hAnsi="Arial" w:cs="Arial"/>
                <w:i/>
                <w:sz w:val="24"/>
                <w:szCs w:val="24"/>
              </w:rPr>
            </w:pPr>
          </w:p>
          <w:p w:rsidR="008A3687" w:rsidRPr="008A3687" w:rsidRDefault="008A3687" w:rsidP="008A3687">
            <w:pPr>
              <w:spacing w:before="60" w:after="60"/>
              <w:jc w:val="both"/>
              <w:rPr>
                <w:rFonts w:ascii="Arial" w:hAnsi="Arial" w:cs="Arial"/>
                <w:color w:val="202124"/>
                <w:shd w:val="clear" w:color="auto" w:fill="FFFFFF"/>
              </w:rPr>
            </w:pPr>
            <w:r w:rsidRPr="008A3687">
              <w:rPr>
                <w:rFonts w:ascii="Arial" w:hAnsi="Arial" w:cs="Arial"/>
                <w:color w:val="202124"/>
                <w:shd w:val="clear" w:color="auto" w:fill="FFFFFF"/>
              </w:rPr>
              <w:t>Zadavatel neposkytl žádné informace o potřebě parku (např. nedostatek vhodných obchodních prostor nebo nemovitostí v regionu) nebo poptávce ze strany podnikatelů na umístění. Dokumentace naopak naznačuje, že v současné době je v regionu nedostatek podniků a podnikatelů a že park je potřebný pro generování poptávky. Zdá se nepravděpodobné, že by důvodem problémů zjištěných v regionu byla samotná nedostatečná infrastruktura a obchodní prostory.</w:t>
            </w:r>
          </w:p>
          <w:p w:rsidR="008A3687" w:rsidRPr="008A3687" w:rsidRDefault="008A3687" w:rsidP="008A3687">
            <w:pPr>
              <w:spacing w:before="60" w:after="60"/>
              <w:jc w:val="both"/>
              <w:rPr>
                <w:rFonts w:ascii="Arial" w:hAnsi="Arial" w:cs="Arial"/>
                <w:color w:val="202124"/>
                <w:shd w:val="clear" w:color="auto" w:fill="FFFFFF"/>
              </w:rPr>
            </w:pPr>
          </w:p>
          <w:p w:rsidR="008A3687" w:rsidRPr="008A3687" w:rsidRDefault="008A3687" w:rsidP="008A3687">
            <w:pPr>
              <w:spacing w:before="60" w:after="60"/>
              <w:jc w:val="both"/>
              <w:rPr>
                <w:rFonts w:ascii="Arial" w:hAnsi="Arial" w:cs="Arial"/>
                <w:color w:val="202124"/>
                <w:shd w:val="clear" w:color="auto" w:fill="FFFFFF"/>
              </w:rPr>
            </w:pPr>
            <w:r w:rsidRPr="008A3687">
              <w:rPr>
                <w:rFonts w:ascii="Arial" w:hAnsi="Arial" w:cs="Arial"/>
                <w:color w:val="202124"/>
                <w:shd w:val="clear" w:color="auto" w:fill="FFFFFF"/>
              </w:rPr>
              <w:t>V rozsahu projektu není zahrnut provoz parku; proto nelze posoudit obchodní model a finanční životaschopnost parku.</w:t>
            </w:r>
          </w:p>
          <w:p w:rsidR="0008508E" w:rsidRDefault="0008508E" w:rsidP="008A3687">
            <w:pPr>
              <w:spacing w:before="60" w:after="60"/>
              <w:jc w:val="both"/>
              <w:rPr>
                <w:rFonts w:ascii="Arial" w:hAnsi="Arial" w:cs="Arial"/>
                <w:color w:val="202124"/>
                <w:shd w:val="clear" w:color="auto" w:fill="FFFFFF"/>
              </w:rPr>
            </w:pPr>
          </w:p>
          <w:p w:rsidR="0008508E" w:rsidRDefault="0008508E" w:rsidP="008A3687">
            <w:pPr>
              <w:spacing w:before="60" w:after="60"/>
              <w:jc w:val="both"/>
              <w:rPr>
                <w:rFonts w:ascii="Arial" w:hAnsi="Arial" w:cs="Arial"/>
                <w:color w:val="202124"/>
                <w:shd w:val="clear" w:color="auto" w:fill="FFFFFF"/>
              </w:rPr>
            </w:pPr>
            <w:r>
              <w:rPr>
                <w:rFonts w:ascii="Arial" w:hAnsi="Arial" w:cs="Arial"/>
                <w:color w:val="202124"/>
                <w:shd w:val="clear" w:color="auto" w:fill="FFFFFF"/>
              </w:rPr>
              <w:t>Rozpočet na pořízení, výstavbu a "zkvalitnění stavby" je cca. 11,7 EUR (65 % celkových nákladů na projekt). Bez bližších informací o ceně pozemku a předpokládaných pracích je opět obtížné komentovat přiměřenost rozpočtu.</w:t>
            </w:r>
          </w:p>
          <w:p w:rsidR="00F8325E" w:rsidRPr="008A3687" w:rsidRDefault="00F8325E" w:rsidP="0008508E">
            <w:pPr>
              <w:spacing w:before="60" w:after="60"/>
              <w:jc w:val="both"/>
              <w:rPr>
                <w:rFonts w:ascii="Arial" w:hAnsi="Arial" w:cs="Arial"/>
                <w:sz w:val="24"/>
                <w:szCs w:val="24"/>
              </w:rPr>
            </w:pPr>
          </w:p>
        </w:tc>
      </w:tr>
      <w:tr w:rsidR="00F8325E" w:rsidTr="00F8325E">
        <w:tc>
          <w:tcPr>
            <w:tcW w:w="9445" w:type="dxa"/>
          </w:tcPr>
          <w:p w:rsidR="008E0B4A" w:rsidRDefault="007F2832" w:rsidP="00BE5331">
            <w:pPr>
              <w:pStyle w:val="Odstavecseseznamem"/>
              <w:numPr>
                <w:ilvl w:val="0"/>
                <w:numId w:val="9"/>
              </w:numPr>
              <w:rPr>
                <w:rFonts w:ascii="Arial" w:hAnsi="Arial" w:cs="Arial"/>
                <w:sz w:val="24"/>
                <w:szCs w:val="24"/>
                <w:u w:val="single"/>
              </w:rPr>
            </w:pPr>
            <w:r w:rsidRPr="00BE5331">
              <w:rPr>
                <w:rFonts w:ascii="Arial" w:hAnsi="Arial" w:cs="Arial"/>
                <w:sz w:val="24"/>
                <w:szCs w:val="24"/>
                <w:u w:val="single"/>
              </w:rPr>
              <w:t>Rizika projektu</w:t>
            </w:r>
          </w:p>
          <w:p w:rsidR="008A3687" w:rsidRPr="008A3687" w:rsidRDefault="0008508E" w:rsidP="0008508E">
            <w:pPr>
              <w:spacing w:before="60" w:after="60"/>
              <w:jc w:val="both"/>
              <w:rPr>
                <w:color w:val="1F497D"/>
              </w:rPr>
            </w:pPr>
            <w:r>
              <w:rPr>
                <w:rFonts w:ascii="Arial" w:hAnsi="Arial" w:cs="Arial"/>
                <w:color w:val="202124"/>
                <w:shd w:val="clear" w:color="auto" w:fill="FFFFFF"/>
              </w:rPr>
              <w:t>Rizika související s přípravnými činnostmi jsou omezená. Následná výstavba parku však s sebou nese četná rizika. Primárním rizikem finanční udržitelnosti parku a schopnosti projektu splnit své cíle je nedostatečná poptávka a nedostatečné využití kapacity parku.</w:t>
            </w:r>
          </w:p>
        </w:tc>
      </w:tr>
    </w:tbl>
    <w:p w:rsidR="007F0941" w:rsidRDefault="007F0941">
      <w:pPr>
        <w:jc w:val="both"/>
        <w:rPr>
          <w:rFonts w:ascii="Arial" w:hAnsi="Arial" w:cs="Arial"/>
          <w:b/>
        </w:rPr>
      </w:pPr>
    </w:p>
    <w:tbl>
      <w:tblPr>
        <w:tblStyle w:val="Mkatabulky"/>
        <w:tblW w:w="9445" w:type="dxa"/>
        <w:tblLook w:val="04A0" w:firstRow="1" w:lastRow="0" w:firstColumn="1" w:lastColumn="0" w:noHBand="0" w:noVBand="1"/>
      </w:tblPr>
      <w:tblGrid>
        <w:gridCol w:w="9445"/>
      </w:tblGrid>
      <w:tr w:rsidR="00D902BA" w:rsidTr="006F4D89">
        <w:tc>
          <w:tcPr>
            <w:tcW w:w="9445" w:type="dxa"/>
            <w:shd w:val="clear" w:color="auto" w:fill="D9D9D9" w:themeFill="background1" w:themeFillShade="D9"/>
          </w:tcPr>
          <w:p w:rsidR="00D902BA" w:rsidRDefault="00D902BA" w:rsidP="006F4D89">
            <w:pPr>
              <w:jc w:val="both"/>
              <w:rPr>
                <w:rFonts w:ascii="Arial" w:hAnsi="Arial" w:cs="Arial"/>
              </w:rPr>
            </w:pPr>
            <w:r>
              <w:rPr>
                <w:rFonts w:ascii="Arial" w:hAnsi="Arial" w:cs="Arial"/>
                <w:b/>
                <w:sz w:val="24"/>
              </w:rPr>
              <w:t>Komentáře a doporučení JASPERS (pokud existují)</w:t>
            </w:r>
          </w:p>
        </w:tc>
      </w:tr>
      <w:tr w:rsidR="00D902BA" w:rsidTr="006F4D89">
        <w:tc>
          <w:tcPr>
            <w:tcW w:w="9445" w:type="dxa"/>
          </w:tcPr>
          <w:p w:rsidR="00D902BA" w:rsidRDefault="00D902BA" w:rsidP="006F4D89">
            <w:pPr>
              <w:jc w:val="both"/>
              <w:rPr>
                <w:rFonts w:ascii="Arial" w:hAnsi="Arial" w:cs="Arial"/>
              </w:rPr>
            </w:pPr>
          </w:p>
          <w:p w:rsidR="00E70C55" w:rsidRPr="00475362" w:rsidRDefault="0008508E" w:rsidP="00FB0EFD">
            <w:pPr>
              <w:spacing w:before="60" w:after="60"/>
              <w:ind w:left="360"/>
              <w:jc w:val="both"/>
              <w:rPr>
                <w:rFonts w:ascii="Arial" w:hAnsi="Arial" w:cs="Arial"/>
              </w:rPr>
            </w:pPr>
            <w:r w:rsidRPr="00475362">
              <w:rPr>
                <w:rFonts w:ascii="Arial" w:hAnsi="Arial" w:cs="Arial"/>
              </w:rPr>
              <w:t>Promotér by se měl zaměřit na:</w:t>
            </w:r>
          </w:p>
          <w:p w:rsidR="008A3687" w:rsidRPr="00475362" w:rsidRDefault="0008508E" w:rsidP="008A3687">
            <w:pPr>
              <w:pStyle w:val="Odstavecseseznamem"/>
              <w:numPr>
                <w:ilvl w:val="0"/>
                <w:numId w:val="24"/>
              </w:numPr>
              <w:spacing w:before="60" w:after="60"/>
              <w:jc w:val="both"/>
              <w:rPr>
                <w:rFonts w:ascii="Arial" w:hAnsi="Arial" w:cs="Arial"/>
              </w:rPr>
            </w:pPr>
            <w:r w:rsidRPr="00475362">
              <w:rPr>
                <w:rFonts w:ascii="Arial" w:hAnsi="Arial" w:cs="Arial"/>
              </w:rPr>
              <w:t>Prokázání toho, že ze strany podniků existuje poptávka po prostorech/nemovitostech.</w:t>
            </w:r>
          </w:p>
          <w:p w:rsidR="0008508E" w:rsidRPr="00475362" w:rsidRDefault="0008508E" w:rsidP="0008508E">
            <w:pPr>
              <w:pStyle w:val="Odstavecseseznamem"/>
              <w:numPr>
                <w:ilvl w:val="0"/>
                <w:numId w:val="24"/>
              </w:numPr>
              <w:spacing w:before="60" w:after="60"/>
              <w:jc w:val="both"/>
              <w:rPr>
                <w:rFonts w:ascii="Arial" w:hAnsi="Arial" w:cs="Arial"/>
              </w:rPr>
            </w:pPr>
            <w:r w:rsidRPr="00475362">
              <w:rPr>
                <w:rFonts w:ascii="Arial" w:hAnsi="Arial" w:cs="Arial"/>
              </w:rPr>
              <w:t xml:space="preserve">Identifikace důvodů problémů přítomných v regionu (za předpokladu, že nejde pouze o nedostatek infrastruktury) </w:t>
            </w:r>
          </w:p>
          <w:p w:rsidR="0008508E" w:rsidRPr="00475362" w:rsidRDefault="0008508E" w:rsidP="0008508E">
            <w:pPr>
              <w:pStyle w:val="Odstavecseseznamem"/>
              <w:numPr>
                <w:ilvl w:val="0"/>
                <w:numId w:val="24"/>
              </w:numPr>
              <w:spacing w:before="60" w:after="60"/>
              <w:jc w:val="both"/>
              <w:rPr>
                <w:rFonts w:ascii="Arial" w:hAnsi="Arial" w:cs="Arial"/>
              </w:rPr>
            </w:pPr>
            <w:r w:rsidRPr="00475362">
              <w:rPr>
                <w:rFonts w:ascii="Arial" w:hAnsi="Arial" w:cs="Arial"/>
              </w:rPr>
              <w:t>Identifikace a odstranění bariér (např. regulace), které by mohly brzdit vznik a přemístění nových podniků v regionu.</w:t>
            </w:r>
          </w:p>
          <w:p w:rsidR="00475362" w:rsidRPr="00475362" w:rsidRDefault="00475362" w:rsidP="0008508E">
            <w:pPr>
              <w:pStyle w:val="Odstavecseseznamem"/>
              <w:numPr>
                <w:ilvl w:val="0"/>
                <w:numId w:val="24"/>
              </w:numPr>
              <w:spacing w:before="60" w:after="60"/>
              <w:jc w:val="both"/>
              <w:rPr>
                <w:rFonts w:ascii="Arial" w:hAnsi="Arial" w:cs="Arial"/>
              </w:rPr>
            </w:pPr>
            <w:r>
              <w:rPr>
                <w:rFonts w:ascii="Arial" w:hAnsi="Arial" w:cs="Arial"/>
                <w:color w:val="202124"/>
                <w:shd w:val="clear" w:color="auto" w:fill="FFFFFF"/>
              </w:rPr>
              <w:t xml:space="preserve">Analýza potenciálních profilů (věk, dovednosti a adaptabilita) stážistů, dostupnost školitelů a pracovní příležitosti atd. </w:t>
            </w:r>
          </w:p>
          <w:p w:rsidR="0008508E" w:rsidRPr="00475362" w:rsidRDefault="0008508E" w:rsidP="0008508E">
            <w:pPr>
              <w:pStyle w:val="Odstavecseseznamem"/>
              <w:numPr>
                <w:ilvl w:val="0"/>
                <w:numId w:val="24"/>
              </w:numPr>
              <w:spacing w:before="60" w:after="60"/>
              <w:jc w:val="both"/>
              <w:rPr>
                <w:rFonts w:ascii="Arial" w:hAnsi="Arial" w:cs="Arial"/>
              </w:rPr>
            </w:pPr>
            <w:r w:rsidRPr="00475362">
              <w:rPr>
                <w:rFonts w:ascii="Arial" w:hAnsi="Arial" w:cs="Arial"/>
              </w:rPr>
              <w:t xml:space="preserve">Poskytování dalších důkazů o své schopnosti řídit projekt </w:t>
            </w:r>
          </w:p>
          <w:p w:rsidR="00E70C55" w:rsidRPr="0008508E" w:rsidRDefault="00E70C55" w:rsidP="0008508E">
            <w:pPr>
              <w:pStyle w:val="Odstavecseseznamem"/>
              <w:spacing w:before="60" w:after="60"/>
              <w:jc w:val="both"/>
              <w:rPr>
                <w:rFonts w:ascii="Arial" w:hAnsi="Arial" w:cs="Arial"/>
                <w:sz w:val="24"/>
                <w:szCs w:val="24"/>
              </w:rPr>
            </w:pPr>
          </w:p>
        </w:tc>
      </w:tr>
    </w:tbl>
    <w:p w:rsidR="00D902BA" w:rsidRDefault="00D902BA">
      <w:pPr>
        <w:jc w:val="both"/>
        <w:rPr>
          <w:rFonts w:ascii="Arial" w:hAnsi="Arial" w:cs="Arial"/>
          <w:b/>
        </w:rPr>
      </w:pPr>
    </w:p>
    <w:tbl>
      <w:tblPr>
        <w:tblStyle w:val="Mkatabulky"/>
        <w:tblW w:w="9445" w:type="dxa"/>
        <w:tblLook w:val="04A0" w:firstRow="1" w:lastRow="0" w:firstColumn="1" w:lastColumn="0" w:noHBand="0" w:noVBand="1"/>
      </w:tblPr>
      <w:tblGrid>
        <w:gridCol w:w="9445"/>
      </w:tblGrid>
      <w:tr w:rsidR="007E2230" w:rsidRPr="00C60B6F" w:rsidTr="00661CA4">
        <w:tc>
          <w:tcPr>
            <w:tcW w:w="9445" w:type="dxa"/>
            <w:shd w:val="clear" w:color="auto" w:fill="D9D9D9" w:themeFill="background1" w:themeFillShade="D9"/>
          </w:tcPr>
          <w:p w:rsidR="007E2230" w:rsidRPr="007E2230" w:rsidRDefault="007E2230" w:rsidP="007E2230">
            <w:pPr>
              <w:jc w:val="both"/>
              <w:rPr>
                <w:rFonts w:ascii="Arial" w:hAnsi="Arial" w:cs="Arial"/>
                <w:b/>
                <w:sz w:val="24"/>
              </w:rPr>
            </w:pPr>
            <w:r w:rsidRPr="007E2230">
              <w:rPr>
                <w:rFonts w:ascii="Arial" w:hAnsi="Arial" w:cs="Arial"/>
                <w:b/>
                <w:sz w:val="24"/>
              </w:rPr>
              <w:t>JASPERS Poznámky k možnostem financování a kvalifikaci projektu do pilířů JTM</w:t>
            </w:r>
          </w:p>
        </w:tc>
      </w:tr>
      <w:tr w:rsidR="007E2230" w:rsidRPr="00775571" w:rsidTr="00661CA4">
        <w:tc>
          <w:tcPr>
            <w:tcW w:w="9445" w:type="dxa"/>
          </w:tcPr>
          <w:p w:rsidR="007E2230" w:rsidRPr="00475362" w:rsidRDefault="0008508E" w:rsidP="00475362">
            <w:pPr>
              <w:spacing w:before="60" w:after="60"/>
              <w:jc w:val="both"/>
              <w:rPr>
                <w:rFonts w:ascii="Arial" w:hAnsi="Arial" w:cs="Arial"/>
              </w:rPr>
            </w:pPr>
            <w:r w:rsidRPr="00475362">
              <w:rPr>
                <w:rFonts w:ascii="Arial" w:hAnsi="Arial" w:cs="Arial"/>
              </w:rPr>
              <w:t xml:space="preserve">Stávající projekt by měl být způsobilý v rámci pilíře 1. Předkladatel uvedl, že může požádat o financování z pilířů 2 a 3 pro případnou výstavbu obchodního parku. </w:t>
            </w:r>
          </w:p>
        </w:tc>
      </w:tr>
    </w:tbl>
    <w:p w:rsidR="007E2230" w:rsidRDefault="007E2230">
      <w:pPr>
        <w:jc w:val="both"/>
        <w:rPr>
          <w:rFonts w:ascii="Arial" w:hAnsi="Arial" w:cs="Arial"/>
          <w:b/>
        </w:rPr>
      </w:pPr>
    </w:p>
    <w:p w:rsidR="007F0941" w:rsidRDefault="007F0941">
      <w:pPr>
        <w:jc w:val="both"/>
        <w:rPr>
          <w:rFonts w:ascii="Arial" w:hAnsi="Arial" w:cs="Arial"/>
          <w:b/>
        </w:rPr>
      </w:pPr>
    </w:p>
    <w:sectPr w:rsidR="007F0941">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E54" w:rsidRDefault="00E41E54">
      <w:pPr>
        <w:spacing w:after="0" w:line="240" w:lineRule="auto"/>
      </w:pPr>
      <w:r>
        <w:separator/>
      </w:r>
    </w:p>
  </w:endnote>
  <w:endnote w:type="continuationSeparator" w:id="0">
    <w:p w:rsidR="00E41E54" w:rsidRDefault="00E41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E54" w:rsidRDefault="00E41E54">
      <w:pPr>
        <w:spacing w:after="0" w:line="240" w:lineRule="auto"/>
      </w:pPr>
      <w:r>
        <w:separator/>
      </w:r>
    </w:p>
  </w:footnote>
  <w:footnote w:type="continuationSeparator" w:id="0">
    <w:p w:rsidR="00E41E54" w:rsidRDefault="00E41E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941" w:rsidRDefault="00DD5B0C">
    <w:pPr>
      <w:pStyle w:val="Zhlav"/>
    </w:pPr>
    <w:r>
      <w:rPr>
        <w:noProof/>
        <w:lang w:val="cs-CZ" w:eastAsia="cs-CZ"/>
      </w:rPr>
      <w:drawing>
        <wp:anchor distT="0" distB="0" distL="114300" distR="114300" simplePos="0" relativeHeight="251659264" behindDoc="0" locked="0" layoutInCell="1" allowOverlap="1" wp14:anchorId="0EB13635" wp14:editId="3F7945F4">
          <wp:simplePos x="0" y="0"/>
          <wp:positionH relativeFrom="column">
            <wp:posOffset>5213210</wp:posOffset>
          </wp:positionH>
          <wp:positionV relativeFrom="paragraph">
            <wp:posOffset>-310591</wp:posOffset>
          </wp:positionV>
          <wp:extent cx="1307097" cy="563270"/>
          <wp:effectExtent l="0" t="0" r="7620" b="8255"/>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21034" cy="56927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D1DAE"/>
    <w:multiLevelType w:val="hybridMultilevel"/>
    <w:tmpl w:val="C7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B875E5"/>
    <w:multiLevelType w:val="hybridMultilevel"/>
    <w:tmpl w:val="5CD82EA8"/>
    <w:lvl w:ilvl="0" w:tplc="4ADA1B9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6B744C"/>
    <w:multiLevelType w:val="hybridMultilevel"/>
    <w:tmpl w:val="D50007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6A43B1"/>
    <w:multiLevelType w:val="hybridMultilevel"/>
    <w:tmpl w:val="2A508F88"/>
    <w:lvl w:ilvl="0" w:tplc="31FC111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CD0FB3"/>
    <w:multiLevelType w:val="hybridMultilevel"/>
    <w:tmpl w:val="EA66D5CA"/>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5" w15:restartNumberingAfterBreak="0">
    <w:nsid w:val="228B728D"/>
    <w:multiLevelType w:val="hybridMultilevel"/>
    <w:tmpl w:val="3C9A6BCE"/>
    <w:lvl w:ilvl="0" w:tplc="04090017">
      <w:start w:val="1"/>
      <w:numFmt w:val="lowerLetter"/>
      <w:lvlText w:val="%1)"/>
      <w:lvlJc w:val="left"/>
      <w:pPr>
        <w:ind w:left="704" w:hanging="360"/>
      </w:pPr>
      <w:rPr>
        <w:rFonts w:hint="default"/>
      </w:rPr>
    </w:lvl>
    <w:lvl w:ilvl="1" w:tplc="08090003" w:tentative="1">
      <w:start w:val="1"/>
      <w:numFmt w:val="bullet"/>
      <w:lvlText w:val="o"/>
      <w:lvlJc w:val="left"/>
      <w:pPr>
        <w:ind w:left="1424" w:hanging="360"/>
      </w:pPr>
      <w:rPr>
        <w:rFonts w:ascii="Courier New" w:hAnsi="Courier New" w:cs="Courier New" w:hint="default"/>
      </w:rPr>
    </w:lvl>
    <w:lvl w:ilvl="2" w:tplc="08090005" w:tentative="1">
      <w:start w:val="1"/>
      <w:numFmt w:val="bullet"/>
      <w:lvlText w:val=""/>
      <w:lvlJc w:val="left"/>
      <w:pPr>
        <w:ind w:left="2144" w:hanging="360"/>
      </w:pPr>
      <w:rPr>
        <w:rFonts w:ascii="Wingdings" w:hAnsi="Wingdings" w:hint="default"/>
      </w:rPr>
    </w:lvl>
    <w:lvl w:ilvl="3" w:tplc="08090001" w:tentative="1">
      <w:start w:val="1"/>
      <w:numFmt w:val="bullet"/>
      <w:lvlText w:val=""/>
      <w:lvlJc w:val="left"/>
      <w:pPr>
        <w:ind w:left="2864" w:hanging="360"/>
      </w:pPr>
      <w:rPr>
        <w:rFonts w:ascii="Symbol" w:hAnsi="Symbol" w:hint="default"/>
      </w:rPr>
    </w:lvl>
    <w:lvl w:ilvl="4" w:tplc="08090003" w:tentative="1">
      <w:start w:val="1"/>
      <w:numFmt w:val="bullet"/>
      <w:lvlText w:val="o"/>
      <w:lvlJc w:val="left"/>
      <w:pPr>
        <w:ind w:left="3584" w:hanging="360"/>
      </w:pPr>
      <w:rPr>
        <w:rFonts w:ascii="Courier New" w:hAnsi="Courier New" w:cs="Courier New" w:hint="default"/>
      </w:rPr>
    </w:lvl>
    <w:lvl w:ilvl="5" w:tplc="08090005" w:tentative="1">
      <w:start w:val="1"/>
      <w:numFmt w:val="bullet"/>
      <w:lvlText w:val=""/>
      <w:lvlJc w:val="left"/>
      <w:pPr>
        <w:ind w:left="4304" w:hanging="360"/>
      </w:pPr>
      <w:rPr>
        <w:rFonts w:ascii="Wingdings" w:hAnsi="Wingdings" w:hint="default"/>
      </w:rPr>
    </w:lvl>
    <w:lvl w:ilvl="6" w:tplc="08090001" w:tentative="1">
      <w:start w:val="1"/>
      <w:numFmt w:val="bullet"/>
      <w:lvlText w:val=""/>
      <w:lvlJc w:val="left"/>
      <w:pPr>
        <w:ind w:left="5024" w:hanging="360"/>
      </w:pPr>
      <w:rPr>
        <w:rFonts w:ascii="Symbol" w:hAnsi="Symbol" w:hint="default"/>
      </w:rPr>
    </w:lvl>
    <w:lvl w:ilvl="7" w:tplc="08090003" w:tentative="1">
      <w:start w:val="1"/>
      <w:numFmt w:val="bullet"/>
      <w:lvlText w:val="o"/>
      <w:lvlJc w:val="left"/>
      <w:pPr>
        <w:ind w:left="5744" w:hanging="360"/>
      </w:pPr>
      <w:rPr>
        <w:rFonts w:ascii="Courier New" w:hAnsi="Courier New" w:cs="Courier New" w:hint="default"/>
      </w:rPr>
    </w:lvl>
    <w:lvl w:ilvl="8" w:tplc="08090005" w:tentative="1">
      <w:start w:val="1"/>
      <w:numFmt w:val="bullet"/>
      <w:lvlText w:val=""/>
      <w:lvlJc w:val="left"/>
      <w:pPr>
        <w:ind w:left="6464" w:hanging="360"/>
      </w:pPr>
      <w:rPr>
        <w:rFonts w:ascii="Wingdings" w:hAnsi="Wingdings" w:hint="default"/>
      </w:rPr>
    </w:lvl>
  </w:abstractNum>
  <w:abstractNum w:abstractNumId="6" w15:restartNumberingAfterBreak="0">
    <w:nsid w:val="234D66C3"/>
    <w:multiLevelType w:val="hybridMultilevel"/>
    <w:tmpl w:val="4B509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506F69"/>
    <w:multiLevelType w:val="hybridMultilevel"/>
    <w:tmpl w:val="DDDCF3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8F16F96"/>
    <w:multiLevelType w:val="hybridMultilevel"/>
    <w:tmpl w:val="C37C17CA"/>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9583DD8"/>
    <w:multiLevelType w:val="hybridMultilevel"/>
    <w:tmpl w:val="C7185A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0B4713"/>
    <w:multiLevelType w:val="hybridMultilevel"/>
    <w:tmpl w:val="B1849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4266A6"/>
    <w:multiLevelType w:val="hybridMultilevel"/>
    <w:tmpl w:val="BCB024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CA61CF"/>
    <w:multiLevelType w:val="hybridMultilevel"/>
    <w:tmpl w:val="221859B4"/>
    <w:lvl w:ilvl="0" w:tplc="B4103B0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B056E31"/>
    <w:multiLevelType w:val="hybridMultilevel"/>
    <w:tmpl w:val="3C82D3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0D44120"/>
    <w:multiLevelType w:val="hybridMultilevel"/>
    <w:tmpl w:val="F31894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25E4D5F"/>
    <w:multiLevelType w:val="hybridMultilevel"/>
    <w:tmpl w:val="FF1EADA4"/>
    <w:lvl w:ilvl="0" w:tplc="B4103B0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A65424"/>
    <w:multiLevelType w:val="hybridMultilevel"/>
    <w:tmpl w:val="4BD244A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4103D7"/>
    <w:multiLevelType w:val="hybridMultilevel"/>
    <w:tmpl w:val="51C8FFC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4AC7F3B"/>
    <w:multiLevelType w:val="hybridMultilevel"/>
    <w:tmpl w:val="A22C20C8"/>
    <w:lvl w:ilvl="0" w:tplc="FCCA658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9F835CD"/>
    <w:multiLevelType w:val="hybridMultilevel"/>
    <w:tmpl w:val="6032F9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284A44"/>
    <w:multiLevelType w:val="hybridMultilevel"/>
    <w:tmpl w:val="652842D8"/>
    <w:lvl w:ilvl="0" w:tplc="0405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F5A5846"/>
    <w:multiLevelType w:val="multilevel"/>
    <w:tmpl w:val="78AA7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C60234"/>
    <w:multiLevelType w:val="hybridMultilevel"/>
    <w:tmpl w:val="B98E1982"/>
    <w:lvl w:ilvl="0" w:tplc="4C12C360">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A366D63"/>
    <w:multiLevelType w:val="hybridMultilevel"/>
    <w:tmpl w:val="CFA4717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B5974FF"/>
    <w:multiLevelType w:val="hybridMultilevel"/>
    <w:tmpl w:val="36608E06"/>
    <w:lvl w:ilvl="0" w:tplc="05002A90">
      <w:start w:val="1"/>
      <w:numFmt w:val="decimal"/>
      <w:lvlText w:val="%1."/>
      <w:lvlJc w:val="left"/>
      <w:pPr>
        <w:ind w:left="720" w:hanging="360"/>
      </w:pPr>
      <w:rPr>
        <w:b w:val="0"/>
        <w:i w:val="0"/>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771076C4"/>
    <w:multiLevelType w:val="hybridMultilevel"/>
    <w:tmpl w:val="1A5EE0A4"/>
    <w:lvl w:ilvl="0" w:tplc="B4103B0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B3A2738"/>
    <w:multiLevelType w:val="hybridMultilevel"/>
    <w:tmpl w:val="73CE0E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7935D3"/>
    <w:multiLevelType w:val="hybridMultilevel"/>
    <w:tmpl w:val="4EEAC0D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21"/>
  </w:num>
  <w:num w:numId="3">
    <w:abstractNumId w:val="10"/>
  </w:num>
  <w:num w:numId="4">
    <w:abstractNumId w:val="18"/>
  </w:num>
  <w:num w:numId="5">
    <w:abstractNumId w:val="20"/>
  </w:num>
  <w:num w:numId="6">
    <w:abstractNumId w:val="1"/>
  </w:num>
  <w:num w:numId="7">
    <w:abstractNumId w:val="14"/>
  </w:num>
  <w:num w:numId="8">
    <w:abstractNumId w:val="8"/>
  </w:num>
  <w:num w:numId="9">
    <w:abstractNumId w:val="17"/>
  </w:num>
  <w:num w:numId="10">
    <w:abstractNumId w:val="15"/>
  </w:num>
  <w:num w:numId="11">
    <w:abstractNumId w:val="12"/>
  </w:num>
  <w:num w:numId="12">
    <w:abstractNumId w:val="6"/>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
  </w:num>
  <w:num w:numId="16">
    <w:abstractNumId w:val="11"/>
  </w:num>
  <w:num w:numId="17">
    <w:abstractNumId w:val="0"/>
  </w:num>
  <w:num w:numId="18">
    <w:abstractNumId w:val="9"/>
  </w:num>
  <w:num w:numId="19">
    <w:abstractNumId w:val="13"/>
  </w:num>
  <w:num w:numId="20">
    <w:abstractNumId w:val="25"/>
  </w:num>
  <w:num w:numId="21">
    <w:abstractNumId w:val="4"/>
  </w:num>
  <w:num w:numId="22">
    <w:abstractNumId w:val="23"/>
  </w:num>
  <w:num w:numId="23">
    <w:abstractNumId w:val="27"/>
  </w:num>
  <w:num w:numId="24">
    <w:abstractNumId w:val="22"/>
  </w:num>
  <w:num w:numId="25">
    <w:abstractNumId w:val="3"/>
  </w:num>
  <w:num w:numId="26">
    <w:abstractNumId w:val="16"/>
  </w:num>
  <w:num w:numId="27">
    <w:abstractNumId w:val="7"/>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cwMDC3NLcwMTc3MTRQ0lEKTi0uzszPAykwNKkFAHrlJNotAAAA"/>
  </w:docVars>
  <w:rsids>
    <w:rsidRoot w:val="00E52DD8"/>
    <w:rsid w:val="00014B94"/>
    <w:rsid w:val="000165DC"/>
    <w:rsid w:val="00030CCE"/>
    <w:rsid w:val="000321F9"/>
    <w:rsid w:val="000358E2"/>
    <w:rsid w:val="00040285"/>
    <w:rsid w:val="00052B12"/>
    <w:rsid w:val="00053724"/>
    <w:rsid w:val="00066A5B"/>
    <w:rsid w:val="00082678"/>
    <w:rsid w:val="0008508E"/>
    <w:rsid w:val="00093B19"/>
    <w:rsid w:val="000A3560"/>
    <w:rsid w:val="000A61CC"/>
    <w:rsid w:val="000B1470"/>
    <w:rsid w:val="000B3587"/>
    <w:rsid w:val="000B5EAA"/>
    <w:rsid w:val="000D0289"/>
    <w:rsid w:val="000D1B2C"/>
    <w:rsid w:val="000D2ABA"/>
    <w:rsid w:val="000D598B"/>
    <w:rsid w:val="000E38EA"/>
    <w:rsid w:val="000F45BC"/>
    <w:rsid w:val="001143D2"/>
    <w:rsid w:val="001150DB"/>
    <w:rsid w:val="00124CC9"/>
    <w:rsid w:val="00141BEC"/>
    <w:rsid w:val="001425AC"/>
    <w:rsid w:val="00145093"/>
    <w:rsid w:val="00145C93"/>
    <w:rsid w:val="001566A9"/>
    <w:rsid w:val="00163323"/>
    <w:rsid w:val="00163C8D"/>
    <w:rsid w:val="00170073"/>
    <w:rsid w:val="0018670E"/>
    <w:rsid w:val="0019207D"/>
    <w:rsid w:val="001A6A7F"/>
    <w:rsid w:val="001A748A"/>
    <w:rsid w:val="001A774D"/>
    <w:rsid w:val="001E1871"/>
    <w:rsid w:val="001F668F"/>
    <w:rsid w:val="00205309"/>
    <w:rsid w:val="00216712"/>
    <w:rsid w:val="002231F7"/>
    <w:rsid w:val="002300BB"/>
    <w:rsid w:val="00232DE2"/>
    <w:rsid w:val="00245E7E"/>
    <w:rsid w:val="002505B8"/>
    <w:rsid w:val="002524E7"/>
    <w:rsid w:val="00256D89"/>
    <w:rsid w:val="00264865"/>
    <w:rsid w:val="002651AE"/>
    <w:rsid w:val="00270ED9"/>
    <w:rsid w:val="00276E48"/>
    <w:rsid w:val="00283AE7"/>
    <w:rsid w:val="0029017D"/>
    <w:rsid w:val="00294857"/>
    <w:rsid w:val="002B75E3"/>
    <w:rsid w:val="002C0917"/>
    <w:rsid w:val="002C337C"/>
    <w:rsid w:val="002C4A0C"/>
    <w:rsid w:val="002D526E"/>
    <w:rsid w:val="002E0CDD"/>
    <w:rsid w:val="002E0E8C"/>
    <w:rsid w:val="002F3940"/>
    <w:rsid w:val="00307E63"/>
    <w:rsid w:val="00311EA5"/>
    <w:rsid w:val="00336D3B"/>
    <w:rsid w:val="00361343"/>
    <w:rsid w:val="00373506"/>
    <w:rsid w:val="0037362F"/>
    <w:rsid w:val="00376B27"/>
    <w:rsid w:val="003856A9"/>
    <w:rsid w:val="00386131"/>
    <w:rsid w:val="00391B11"/>
    <w:rsid w:val="00393033"/>
    <w:rsid w:val="003960EB"/>
    <w:rsid w:val="0039789E"/>
    <w:rsid w:val="003A1DA5"/>
    <w:rsid w:val="003B7885"/>
    <w:rsid w:val="003C3617"/>
    <w:rsid w:val="003C6917"/>
    <w:rsid w:val="003D0348"/>
    <w:rsid w:val="003D263A"/>
    <w:rsid w:val="003E251B"/>
    <w:rsid w:val="004034DF"/>
    <w:rsid w:val="00411CD4"/>
    <w:rsid w:val="00415C35"/>
    <w:rsid w:val="00417A25"/>
    <w:rsid w:val="004244DE"/>
    <w:rsid w:val="004250A9"/>
    <w:rsid w:val="0043186E"/>
    <w:rsid w:val="00436A46"/>
    <w:rsid w:val="00445534"/>
    <w:rsid w:val="0044583B"/>
    <w:rsid w:val="00475362"/>
    <w:rsid w:val="004763CF"/>
    <w:rsid w:val="00481BCA"/>
    <w:rsid w:val="004874F0"/>
    <w:rsid w:val="00491BDE"/>
    <w:rsid w:val="004A2DA4"/>
    <w:rsid w:val="004A5434"/>
    <w:rsid w:val="004B33B6"/>
    <w:rsid w:val="004E10FB"/>
    <w:rsid w:val="004E4547"/>
    <w:rsid w:val="004F580B"/>
    <w:rsid w:val="00505D43"/>
    <w:rsid w:val="00506BF3"/>
    <w:rsid w:val="00516DD3"/>
    <w:rsid w:val="005211B7"/>
    <w:rsid w:val="005271AC"/>
    <w:rsid w:val="00535F48"/>
    <w:rsid w:val="00541CAA"/>
    <w:rsid w:val="00545916"/>
    <w:rsid w:val="0054620D"/>
    <w:rsid w:val="005506F2"/>
    <w:rsid w:val="00554180"/>
    <w:rsid w:val="00555A7E"/>
    <w:rsid w:val="00555EE6"/>
    <w:rsid w:val="005655A8"/>
    <w:rsid w:val="005719C9"/>
    <w:rsid w:val="005850FA"/>
    <w:rsid w:val="005858AE"/>
    <w:rsid w:val="005937FA"/>
    <w:rsid w:val="00597F5A"/>
    <w:rsid w:val="005A3648"/>
    <w:rsid w:val="005A4E08"/>
    <w:rsid w:val="005B08F6"/>
    <w:rsid w:val="005B0ED8"/>
    <w:rsid w:val="005B28D2"/>
    <w:rsid w:val="005B5642"/>
    <w:rsid w:val="005C2906"/>
    <w:rsid w:val="005C3F1C"/>
    <w:rsid w:val="005C41BE"/>
    <w:rsid w:val="005C5CFB"/>
    <w:rsid w:val="005E042A"/>
    <w:rsid w:val="005E25A3"/>
    <w:rsid w:val="005E3E13"/>
    <w:rsid w:val="005F3400"/>
    <w:rsid w:val="005F3A29"/>
    <w:rsid w:val="00613792"/>
    <w:rsid w:val="00635CE6"/>
    <w:rsid w:val="00643D4B"/>
    <w:rsid w:val="00654120"/>
    <w:rsid w:val="00661CA4"/>
    <w:rsid w:val="00662CCE"/>
    <w:rsid w:val="0069602F"/>
    <w:rsid w:val="006A3CBD"/>
    <w:rsid w:val="006B57D0"/>
    <w:rsid w:val="006C5945"/>
    <w:rsid w:val="006D49AB"/>
    <w:rsid w:val="006D4C42"/>
    <w:rsid w:val="006D7464"/>
    <w:rsid w:val="006E47C3"/>
    <w:rsid w:val="006F00A5"/>
    <w:rsid w:val="006F20B3"/>
    <w:rsid w:val="006F6470"/>
    <w:rsid w:val="0071007F"/>
    <w:rsid w:val="00713DA1"/>
    <w:rsid w:val="00722C83"/>
    <w:rsid w:val="00740B8A"/>
    <w:rsid w:val="00745F5A"/>
    <w:rsid w:val="00746A01"/>
    <w:rsid w:val="007545A4"/>
    <w:rsid w:val="00765008"/>
    <w:rsid w:val="00766A1D"/>
    <w:rsid w:val="00776FA3"/>
    <w:rsid w:val="00781876"/>
    <w:rsid w:val="007820A5"/>
    <w:rsid w:val="00794FF9"/>
    <w:rsid w:val="00795636"/>
    <w:rsid w:val="00797C05"/>
    <w:rsid w:val="007A1186"/>
    <w:rsid w:val="007A2A11"/>
    <w:rsid w:val="007A4EF7"/>
    <w:rsid w:val="007D45D4"/>
    <w:rsid w:val="007E0C74"/>
    <w:rsid w:val="007E2230"/>
    <w:rsid w:val="007E6C74"/>
    <w:rsid w:val="007F0941"/>
    <w:rsid w:val="007F2832"/>
    <w:rsid w:val="00806399"/>
    <w:rsid w:val="00810253"/>
    <w:rsid w:val="0081275F"/>
    <w:rsid w:val="00821E87"/>
    <w:rsid w:val="00825E52"/>
    <w:rsid w:val="00826FE8"/>
    <w:rsid w:val="00835F51"/>
    <w:rsid w:val="00842E99"/>
    <w:rsid w:val="00844B82"/>
    <w:rsid w:val="008759EA"/>
    <w:rsid w:val="00875F52"/>
    <w:rsid w:val="00877AB8"/>
    <w:rsid w:val="00885C10"/>
    <w:rsid w:val="00887802"/>
    <w:rsid w:val="0089652A"/>
    <w:rsid w:val="008A0438"/>
    <w:rsid w:val="008A3687"/>
    <w:rsid w:val="008A3FFD"/>
    <w:rsid w:val="008B399F"/>
    <w:rsid w:val="008B470F"/>
    <w:rsid w:val="008C1145"/>
    <w:rsid w:val="008C5A9A"/>
    <w:rsid w:val="008D0A35"/>
    <w:rsid w:val="008E08FA"/>
    <w:rsid w:val="008E0B4A"/>
    <w:rsid w:val="008E3FB2"/>
    <w:rsid w:val="008F271E"/>
    <w:rsid w:val="008F45C2"/>
    <w:rsid w:val="008F66DD"/>
    <w:rsid w:val="00903C1D"/>
    <w:rsid w:val="0090543C"/>
    <w:rsid w:val="00911942"/>
    <w:rsid w:val="00911F36"/>
    <w:rsid w:val="00913689"/>
    <w:rsid w:val="009204EC"/>
    <w:rsid w:val="009317EA"/>
    <w:rsid w:val="00953136"/>
    <w:rsid w:val="00962EE5"/>
    <w:rsid w:val="00970DD6"/>
    <w:rsid w:val="00971BE9"/>
    <w:rsid w:val="00983B48"/>
    <w:rsid w:val="0099274B"/>
    <w:rsid w:val="00994513"/>
    <w:rsid w:val="009A0190"/>
    <w:rsid w:val="009A2382"/>
    <w:rsid w:val="009B1938"/>
    <w:rsid w:val="009B37C2"/>
    <w:rsid w:val="009B6256"/>
    <w:rsid w:val="009C387E"/>
    <w:rsid w:val="009D17A7"/>
    <w:rsid w:val="009E2181"/>
    <w:rsid w:val="009E4F80"/>
    <w:rsid w:val="00A458C1"/>
    <w:rsid w:val="00A56936"/>
    <w:rsid w:val="00A61B23"/>
    <w:rsid w:val="00A70278"/>
    <w:rsid w:val="00A919E2"/>
    <w:rsid w:val="00AA7927"/>
    <w:rsid w:val="00AB27E7"/>
    <w:rsid w:val="00AC30DF"/>
    <w:rsid w:val="00AC34C7"/>
    <w:rsid w:val="00AC6189"/>
    <w:rsid w:val="00AC6BDF"/>
    <w:rsid w:val="00AE0502"/>
    <w:rsid w:val="00AE78F1"/>
    <w:rsid w:val="00AF589F"/>
    <w:rsid w:val="00B0299F"/>
    <w:rsid w:val="00B07D15"/>
    <w:rsid w:val="00B413D5"/>
    <w:rsid w:val="00B421FE"/>
    <w:rsid w:val="00B53A71"/>
    <w:rsid w:val="00B53C96"/>
    <w:rsid w:val="00B61444"/>
    <w:rsid w:val="00B626D0"/>
    <w:rsid w:val="00B64768"/>
    <w:rsid w:val="00B66D6A"/>
    <w:rsid w:val="00B679A1"/>
    <w:rsid w:val="00B728BD"/>
    <w:rsid w:val="00B73E51"/>
    <w:rsid w:val="00B74ECC"/>
    <w:rsid w:val="00B759DB"/>
    <w:rsid w:val="00B829A4"/>
    <w:rsid w:val="00B92943"/>
    <w:rsid w:val="00B956C1"/>
    <w:rsid w:val="00BA34D2"/>
    <w:rsid w:val="00BB3A9C"/>
    <w:rsid w:val="00BB6BA4"/>
    <w:rsid w:val="00BB7A8F"/>
    <w:rsid w:val="00BC3000"/>
    <w:rsid w:val="00BC49C1"/>
    <w:rsid w:val="00BE5331"/>
    <w:rsid w:val="00BF5D07"/>
    <w:rsid w:val="00C106CE"/>
    <w:rsid w:val="00C14D83"/>
    <w:rsid w:val="00C16EE3"/>
    <w:rsid w:val="00C17318"/>
    <w:rsid w:val="00C25026"/>
    <w:rsid w:val="00C2531C"/>
    <w:rsid w:val="00C300DE"/>
    <w:rsid w:val="00C326BE"/>
    <w:rsid w:val="00C34BE9"/>
    <w:rsid w:val="00C40B69"/>
    <w:rsid w:val="00C4392E"/>
    <w:rsid w:val="00C513F4"/>
    <w:rsid w:val="00C63433"/>
    <w:rsid w:val="00C713F7"/>
    <w:rsid w:val="00C772FB"/>
    <w:rsid w:val="00C874A9"/>
    <w:rsid w:val="00CA1495"/>
    <w:rsid w:val="00CA5DCA"/>
    <w:rsid w:val="00CA5EF6"/>
    <w:rsid w:val="00CB1401"/>
    <w:rsid w:val="00CB4BEF"/>
    <w:rsid w:val="00CC1390"/>
    <w:rsid w:val="00CC2031"/>
    <w:rsid w:val="00CC3B18"/>
    <w:rsid w:val="00CD1FB1"/>
    <w:rsid w:val="00CD5B57"/>
    <w:rsid w:val="00CD7812"/>
    <w:rsid w:val="00CE0513"/>
    <w:rsid w:val="00CE5B9D"/>
    <w:rsid w:val="00CF1FCB"/>
    <w:rsid w:val="00D019A1"/>
    <w:rsid w:val="00D02C37"/>
    <w:rsid w:val="00D15B89"/>
    <w:rsid w:val="00D15BF0"/>
    <w:rsid w:val="00D31BE5"/>
    <w:rsid w:val="00D338D1"/>
    <w:rsid w:val="00D50B9A"/>
    <w:rsid w:val="00D51424"/>
    <w:rsid w:val="00D723CA"/>
    <w:rsid w:val="00D84430"/>
    <w:rsid w:val="00D902BA"/>
    <w:rsid w:val="00D97A80"/>
    <w:rsid w:val="00DB030A"/>
    <w:rsid w:val="00DC3CA3"/>
    <w:rsid w:val="00DD458F"/>
    <w:rsid w:val="00DD5061"/>
    <w:rsid w:val="00DD5B0C"/>
    <w:rsid w:val="00DE2ACA"/>
    <w:rsid w:val="00DF3C36"/>
    <w:rsid w:val="00DF4500"/>
    <w:rsid w:val="00E03B7E"/>
    <w:rsid w:val="00E06A89"/>
    <w:rsid w:val="00E0700D"/>
    <w:rsid w:val="00E20B94"/>
    <w:rsid w:val="00E27EF0"/>
    <w:rsid w:val="00E3489E"/>
    <w:rsid w:val="00E41BB8"/>
    <w:rsid w:val="00E41E54"/>
    <w:rsid w:val="00E42116"/>
    <w:rsid w:val="00E52DD8"/>
    <w:rsid w:val="00E54ED1"/>
    <w:rsid w:val="00E70C55"/>
    <w:rsid w:val="00E74BC8"/>
    <w:rsid w:val="00E8085B"/>
    <w:rsid w:val="00E90F18"/>
    <w:rsid w:val="00EA32B4"/>
    <w:rsid w:val="00EA36C7"/>
    <w:rsid w:val="00EB2F29"/>
    <w:rsid w:val="00EC5463"/>
    <w:rsid w:val="00EC6179"/>
    <w:rsid w:val="00EC76DE"/>
    <w:rsid w:val="00ED3D80"/>
    <w:rsid w:val="00ED67C8"/>
    <w:rsid w:val="00EE4D96"/>
    <w:rsid w:val="00F10EDC"/>
    <w:rsid w:val="00F16543"/>
    <w:rsid w:val="00F54CF7"/>
    <w:rsid w:val="00F55A88"/>
    <w:rsid w:val="00F64E0F"/>
    <w:rsid w:val="00F650A7"/>
    <w:rsid w:val="00F7293D"/>
    <w:rsid w:val="00F72D4D"/>
    <w:rsid w:val="00F774CC"/>
    <w:rsid w:val="00F8173A"/>
    <w:rsid w:val="00F8325E"/>
    <w:rsid w:val="00F914C1"/>
    <w:rsid w:val="00FB0EFD"/>
    <w:rsid w:val="00FB2AF0"/>
    <w:rsid w:val="00FC6E0E"/>
    <w:rsid w:val="00FE22CE"/>
    <w:rsid w:val="00FF54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E8AA43B-0153-4150-83E7-B9A6DA11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_Paragraph,Multilevel para_II,ADB Normal,Liste Paragraf,Colorful List - Accent 11,PDP DOCUMENT SUBTITLE,Liststycke SKL,Normal bullet 2,Bullet list,Table of contents numbered,En tête 1,Foot note,Paragraphe de liste PBLH"/>
    <w:basedOn w:val="Normln"/>
    <w:link w:val="OdstavecseseznamemChar"/>
    <w:uiPriority w:val="34"/>
    <w:qFormat/>
    <w:rsid w:val="00DB030A"/>
    <w:pPr>
      <w:ind w:left="720"/>
      <w:contextualSpacing/>
    </w:pPr>
  </w:style>
  <w:style w:type="paragraph" w:customStyle="1" w:styleId="Default">
    <w:name w:val="Default"/>
    <w:rsid w:val="00CA1495"/>
    <w:pPr>
      <w:autoSpaceDE w:val="0"/>
      <w:autoSpaceDN w:val="0"/>
      <w:adjustRightInd w:val="0"/>
      <w:spacing w:after="0" w:line="240" w:lineRule="auto"/>
    </w:pPr>
    <w:rPr>
      <w:rFonts w:ascii="Times New Roman" w:hAnsi="Times New Roman" w:cs="Times New Roman"/>
      <w:color w:val="000000"/>
      <w:sz w:val="24"/>
      <w:szCs w:val="24"/>
    </w:rPr>
  </w:style>
  <w:style w:type="character" w:styleId="Siln">
    <w:name w:val="Strong"/>
    <w:basedOn w:val="Standardnpsmoodstavce"/>
    <w:uiPriority w:val="22"/>
    <w:qFormat/>
    <w:rsid w:val="00CA1495"/>
    <w:rPr>
      <w:b/>
      <w:bCs/>
    </w:rPr>
  </w:style>
  <w:style w:type="paragraph" w:styleId="Normlnweb">
    <w:name w:val="Normal (Web)"/>
    <w:basedOn w:val="Normln"/>
    <w:uiPriority w:val="99"/>
    <w:semiHidden/>
    <w:unhideWhenUsed/>
    <w:rsid w:val="00CA1495"/>
    <w:pPr>
      <w:spacing w:before="90" w:after="90" w:line="384" w:lineRule="atLeast"/>
      <w:ind w:left="120" w:right="120"/>
    </w:pPr>
    <w:rPr>
      <w:rFonts w:ascii="Times New Roman" w:eastAsia="Times New Roman" w:hAnsi="Times New Roman" w:cs="Times New Roman"/>
      <w:sz w:val="26"/>
      <w:szCs w:val="26"/>
      <w:lang w:eastAsia="en-GB"/>
    </w:rPr>
  </w:style>
  <w:style w:type="table" w:styleId="Mkatabulky">
    <w:name w:val="Table Grid"/>
    <w:basedOn w:val="Normlntabulka"/>
    <w:uiPriority w:val="39"/>
    <w:rsid w:val="00AC3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0530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5309"/>
    <w:rPr>
      <w:rFonts w:ascii="Segoe UI" w:hAnsi="Segoe UI" w:cs="Segoe UI"/>
      <w:sz w:val="18"/>
      <w:szCs w:val="18"/>
    </w:rPr>
  </w:style>
  <w:style w:type="character" w:customStyle="1" w:styleId="OdstavecseseznamemChar">
    <w:name w:val="Odstavec se seznamem Char"/>
    <w:aliases w:val="List_Paragraph Char,Multilevel para_II Char,ADB Normal Char,Liste Paragraf Char,Colorful List - Accent 11 Char,PDP DOCUMENT SUBTITLE Char,Liststycke SKL Char,Normal bullet 2 Char,Bullet list Char,Table of contents numbered Char"/>
    <w:basedOn w:val="Standardnpsmoodstavce"/>
    <w:link w:val="Odstavecseseznamem"/>
    <w:uiPriority w:val="34"/>
    <w:qFormat/>
    <w:locked/>
    <w:rsid w:val="000165DC"/>
  </w:style>
  <w:style w:type="character" w:styleId="Odkaznakoment">
    <w:name w:val="annotation reference"/>
    <w:basedOn w:val="Standardnpsmoodstavce"/>
    <w:uiPriority w:val="99"/>
    <w:semiHidden/>
    <w:unhideWhenUsed/>
    <w:rsid w:val="005211B7"/>
    <w:rPr>
      <w:sz w:val="16"/>
      <w:szCs w:val="16"/>
    </w:rPr>
  </w:style>
  <w:style w:type="paragraph" w:styleId="Textkomente">
    <w:name w:val="annotation text"/>
    <w:basedOn w:val="Normln"/>
    <w:link w:val="TextkomenteChar"/>
    <w:uiPriority w:val="99"/>
    <w:semiHidden/>
    <w:unhideWhenUsed/>
    <w:rsid w:val="005211B7"/>
    <w:pPr>
      <w:spacing w:line="240" w:lineRule="auto"/>
    </w:pPr>
    <w:rPr>
      <w:sz w:val="20"/>
      <w:szCs w:val="20"/>
    </w:rPr>
  </w:style>
  <w:style w:type="character" w:customStyle="1" w:styleId="TextkomenteChar">
    <w:name w:val="Text komentáře Char"/>
    <w:basedOn w:val="Standardnpsmoodstavce"/>
    <w:link w:val="Textkomente"/>
    <w:uiPriority w:val="99"/>
    <w:semiHidden/>
    <w:rsid w:val="005211B7"/>
    <w:rPr>
      <w:sz w:val="20"/>
      <w:szCs w:val="20"/>
    </w:rPr>
  </w:style>
  <w:style w:type="paragraph" w:styleId="Pedmtkomente">
    <w:name w:val="annotation subject"/>
    <w:basedOn w:val="Textkomente"/>
    <w:next w:val="Textkomente"/>
    <w:link w:val="PedmtkomenteChar"/>
    <w:uiPriority w:val="99"/>
    <w:semiHidden/>
    <w:unhideWhenUsed/>
    <w:rsid w:val="005211B7"/>
    <w:rPr>
      <w:b/>
      <w:bCs/>
    </w:rPr>
  </w:style>
  <w:style w:type="character" w:customStyle="1" w:styleId="PedmtkomenteChar">
    <w:name w:val="Předmět komentáře Char"/>
    <w:basedOn w:val="TextkomenteChar"/>
    <w:link w:val="Pedmtkomente"/>
    <w:uiPriority w:val="99"/>
    <w:semiHidden/>
    <w:rsid w:val="005211B7"/>
    <w:rPr>
      <w:b/>
      <w:bCs/>
      <w:sz w:val="20"/>
      <w:szCs w:val="20"/>
    </w:rPr>
  </w:style>
  <w:style w:type="paragraph" w:styleId="Zhlav">
    <w:name w:val="header"/>
    <w:basedOn w:val="Normln"/>
    <w:link w:val="ZhlavChar"/>
    <w:uiPriority w:val="99"/>
    <w:unhideWhenUsed/>
    <w:rsid w:val="001F668F"/>
    <w:pPr>
      <w:tabs>
        <w:tab w:val="center" w:pos="4513"/>
        <w:tab w:val="right" w:pos="9026"/>
      </w:tabs>
      <w:spacing w:after="0" w:line="240" w:lineRule="auto"/>
    </w:pPr>
  </w:style>
  <w:style w:type="character" w:customStyle="1" w:styleId="ZhlavChar">
    <w:name w:val="Záhlaví Char"/>
    <w:basedOn w:val="Standardnpsmoodstavce"/>
    <w:link w:val="Zhlav"/>
    <w:uiPriority w:val="99"/>
    <w:rsid w:val="001F668F"/>
  </w:style>
  <w:style w:type="paragraph" w:styleId="Zpat">
    <w:name w:val="footer"/>
    <w:basedOn w:val="Normln"/>
    <w:link w:val="ZpatChar"/>
    <w:uiPriority w:val="99"/>
    <w:unhideWhenUsed/>
    <w:rsid w:val="001F668F"/>
    <w:pPr>
      <w:tabs>
        <w:tab w:val="center" w:pos="4513"/>
        <w:tab w:val="right" w:pos="9026"/>
      </w:tabs>
      <w:spacing w:after="0" w:line="240" w:lineRule="auto"/>
    </w:pPr>
  </w:style>
  <w:style w:type="character" w:customStyle="1" w:styleId="ZpatChar">
    <w:name w:val="Zápatí Char"/>
    <w:basedOn w:val="Standardnpsmoodstavce"/>
    <w:link w:val="Zpat"/>
    <w:uiPriority w:val="99"/>
    <w:rsid w:val="001F668F"/>
  </w:style>
  <w:style w:type="character" w:customStyle="1" w:styleId="Bodytext26ptBold">
    <w:name w:val="Body text|2 + 6 pt;Bold"/>
    <w:basedOn w:val="Standardnpsmoodstavce"/>
    <w:semiHidden/>
    <w:unhideWhenUsed/>
    <w:rsid w:val="006E47C3"/>
    <w:rPr>
      <w:rFonts w:ascii="Arial" w:eastAsia="Arial" w:hAnsi="Arial" w:cs="Arial"/>
      <w:b/>
      <w:bCs/>
      <w:i w:val="0"/>
      <w:iCs w:val="0"/>
      <w:smallCaps w:val="0"/>
      <w:strike w:val="0"/>
      <w:color w:val="000000"/>
      <w:spacing w:val="0"/>
      <w:w w:val="100"/>
      <w:position w:val="0"/>
      <w:sz w:val="12"/>
      <w:szCs w:val="12"/>
      <w:u w:val="none"/>
      <w:lang w:val="en" w:eastAsia="cs-CZ" w:bidi="cs-CZ"/>
    </w:rPr>
  </w:style>
  <w:style w:type="character" w:customStyle="1" w:styleId="Bodytext26pt">
    <w:name w:val="Body text|2 + 6 pt"/>
    <w:basedOn w:val="Standardnpsmoodstavce"/>
    <w:semiHidden/>
    <w:unhideWhenUsed/>
    <w:rsid w:val="006E47C3"/>
    <w:rPr>
      <w:rFonts w:ascii="Arial" w:eastAsia="Arial" w:hAnsi="Arial" w:cs="Arial"/>
      <w:b w:val="0"/>
      <w:bCs w:val="0"/>
      <w:i w:val="0"/>
      <w:iCs w:val="0"/>
      <w:smallCaps w:val="0"/>
      <w:strike w:val="0"/>
      <w:color w:val="000000"/>
      <w:spacing w:val="0"/>
      <w:w w:val="100"/>
      <w:position w:val="0"/>
      <w:sz w:val="12"/>
      <w:szCs w:val="12"/>
      <w:u w:val="none"/>
      <w:lang w:val="en" w:eastAsia="cs-CZ" w:bidi="cs-CZ"/>
    </w:rPr>
  </w:style>
  <w:style w:type="paragraph" w:styleId="Textpoznpodarou">
    <w:name w:val="footnote text"/>
    <w:basedOn w:val="Normln"/>
    <w:link w:val="TextpoznpodarouChar"/>
    <w:uiPriority w:val="99"/>
    <w:semiHidden/>
    <w:unhideWhenUsed/>
    <w:rsid w:val="00B728B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728BD"/>
    <w:rPr>
      <w:sz w:val="20"/>
      <w:szCs w:val="20"/>
    </w:rPr>
  </w:style>
  <w:style w:type="character" w:styleId="Znakapoznpodarou">
    <w:name w:val="footnote reference"/>
    <w:basedOn w:val="Standardnpsmoodstavce"/>
    <w:uiPriority w:val="99"/>
    <w:semiHidden/>
    <w:unhideWhenUsed/>
    <w:rsid w:val="00B728BD"/>
    <w:rPr>
      <w:vertAlign w:val="superscript"/>
    </w:rPr>
  </w:style>
  <w:style w:type="character" w:customStyle="1" w:styleId="Bodytext2">
    <w:name w:val="Body text|2_"/>
    <w:basedOn w:val="Standardnpsmoodstavce"/>
    <w:link w:val="Bodytext20"/>
    <w:rsid w:val="00B728BD"/>
    <w:rPr>
      <w:rFonts w:ascii="Arial" w:eastAsia="Arial" w:hAnsi="Arial" w:cs="Arial"/>
      <w:sz w:val="13"/>
      <w:szCs w:val="13"/>
      <w:shd w:val="clear" w:color="auto" w:fill="FFFFFF"/>
    </w:rPr>
  </w:style>
  <w:style w:type="paragraph" w:customStyle="1" w:styleId="Bodytext20">
    <w:name w:val="Body text|2"/>
    <w:basedOn w:val="Normln"/>
    <w:link w:val="Bodytext2"/>
    <w:qFormat/>
    <w:rsid w:val="00B728BD"/>
    <w:pPr>
      <w:widowControl w:val="0"/>
      <w:shd w:val="clear" w:color="auto" w:fill="FFFFFF"/>
      <w:spacing w:after="0" w:line="146" w:lineRule="exact"/>
    </w:pPr>
    <w:rPr>
      <w:rFonts w:ascii="Arial" w:eastAsia="Arial" w:hAnsi="Arial" w:cs="Arial"/>
      <w:sz w:val="13"/>
      <w:szCs w:val="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584874">
      <w:bodyDiv w:val="1"/>
      <w:marLeft w:val="0"/>
      <w:marRight w:val="0"/>
      <w:marTop w:val="0"/>
      <w:marBottom w:val="0"/>
      <w:divBdr>
        <w:top w:val="none" w:sz="0" w:space="0" w:color="auto"/>
        <w:left w:val="none" w:sz="0" w:space="0" w:color="auto"/>
        <w:bottom w:val="none" w:sz="0" w:space="0" w:color="auto"/>
        <w:right w:val="none" w:sz="0" w:space="0" w:color="auto"/>
      </w:divBdr>
    </w:div>
    <w:div w:id="768738097">
      <w:bodyDiv w:val="1"/>
      <w:marLeft w:val="0"/>
      <w:marRight w:val="0"/>
      <w:marTop w:val="0"/>
      <w:marBottom w:val="0"/>
      <w:divBdr>
        <w:top w:val="none" w:sz="0" w:space="0" w:color="auto"/>
        <w:left w:val="none" w:sz="0" w:space="0" w:color="auto"/>
        <w:bottom w:val="none" w:sz="0" w:space="0" w:color="auto"/>
        <w:right w:val="none" w:sz="0" w:space="0" w:color="auto"/>
      </w:divBdr>
      <w:divsChild>
        <w:div w:id="1234781976">
          <w:marLeft w:val="0"/>
          <w:marRight w:val="0"/>
          <w:marTop w:val="0"/>
          <w:marBottom w:val="0"/>
          <w:divBdr>
            <w:top w:val="none" w:sz="0" w:space="0" w:color="auto"/>
            <w:left w:val="none" w:sz="0" w:space="0" w:color="auto"/>
            <w:bottom w:val="none" w:sz="0" w:space="0" w:color="auto"/>
            <w:right w:val="none" w:sz="0" w:space="0" w:color="auto"/>
          </w:divBdr>
          <w:divsChild>
            <w:div w:id="1591347389">
              <w:marLeft w:val="0"/>
              <w:marRight w:val="0"/>
              <w:marTop w:val="0"/>
              <w:marBottom w:val="0"/>
              <w:divBdr>
                <w:top w:val="none" w:sz="0" w:space="0" w:color="auto"/>
                <w:left w:val="none" w:sz="0" w:space="0" w:color="auto"/>
                <w:bottom w:val="none" w:sz="0" w:space="0" w:color="auto"/>
                <w:right w:val="none" w:sz="0" w:space="0" w:color="auto"/>
              </w:divBdr>
              <w:divsChild>
                <w:div w:id="1099712596">
                  <w:marLeft w:val="0"/>
                  <w:marRight w:val="0"/>
                  <w:marTop w:val="0"/>
                  <w:marBottom w:val="0"/>
                  <w:divBdr>
                    <w:top w:val="none" w:sz="0" w:space="0" w:color="auto"/>
                    <w:left w:val="none" w:sz="0" w:space="0" w:color="auto"/>
                    <w:bottom w:val="none" w:sz="0" w:space="0" w:color="auto"/>
                    <w:right w:val="none" w:sz="0" w:space="0" w:color="auto"/>
                  </w:divBdr>
                  <w:divsChild>
                    <w:div w:id="1446652489">
                      <w:marLeft w:val="0"/>
                      <w:marRight w:val="0"/>
                      <w:marTop w:val="0"/>
                      <w:marBottom w:val="0"/>
                      <w:divBdr>
                        <w:top w:val="none" w:sz="0" w:space="0" w:color="auto"/>
                        <w:left w:val="none" w:sz="0" w:space="0" w:color="auto"/>
                        <w:bottom w:val="none" w:sz="0" w:space="0" w:color="auto"/>
                        <w:right w:val="none" w:sz="0" w:space="0" w:color="auto"/>
                      </w:divBdr>
                      <w:divsChild>
                        <w:div w:id="1759597045">
                          <w:marLeft w:val="0"/>
                          <w:marRight w:val="0"/>
                          <w:marTop w:val="0"/>
                          <w:marBottom w:val="0"/>
                          <w:divBdr>
                            <w:top w:val="none" w:sz="0" w:space="0" w:color="auto"/>
                            <w:left w:val="none" w:sz="0" w:space="0" w:color="auto"/>
                            <w:bottom w:val="none" w:sz="0" w:space="0" w:color="auto"/>
                            <w:right w:val="none" w:sz="0" w:space="0" w:color="auto"/>
                          </w:divBdr>
                          <w:divsChild>
                            <w:div w:id="1603222835">
                              <w:marLeft w:val="0"/>
                              <w:marRight w:val="300"/>
                              <w:marTop w:val="180"/>
                              <w:marBottom w:val="0"/>
                              <w:divBdr>
                                <w:top w:val="none" w:sz="0" w:space="0" w:color="auto"/>
                                <w:left w:val="none" w:sz="0" w:space="0" w:color="auto"/>
                                <w:bottom w:val="none" w:sz="0" w:space="0" w:color="auto"/>
                                <w:right w:val="none" w:sz="0" w:space="0" w:color="auto"/>
                              </w:divBdr>
                              <w:divsChild>
                                <w:div w:id="14274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0598090">
          <w:marLeft w:val="0"/>
          <w:marRight w:val="0"/>
          <w:marTop w:val="0"/>
          <w:marBottom w:val="0"/>
          <w:divBdr>
            <w:top w:val="none" w:sz="0" w:space="0" w:color="auto"/>
            <w:left w:val="none" w:sz="0" w:space="0" w:color="auto"/>
            <w:bottom w:val="none" w:sz="0" w:space="0" w:color="auto"/>
            <w:right w:val="none" w:sz="0" w:space="0" w:color="auto"/>
          </w:divBdr>
          <w:divsChild>
            <w:div w:id="1979144413">
              <w:marLeft w:val="0"/>
              <w:marRight w:val="0"/>
              <w:marTop w:val="0"/>
              <w:marBottom w:val="0"/>
              <w:divBdr>
                <w:top w:val="none" w:sz="0" w:space="0" w:color="auto"/>
                <w:left w:val="none" w:sz="0" w:space="0" w:color="auto"/>
                <w:bottom w:val="none" w:sz="0" w:space="0" w:color="auto"/>
                <w:right w:val="none" w:sz="0" w:space="0" w:color="auto"/>
              </w:divBdr>
              <w:divsChild>
                <w:div w:id="740911151">
                  <w:marLeft w:val="0"/>
                  <w:marRight w:val="0"/>
                  <w:marTop w:val="0"/>
                  <w:marBottom w:val="0"/>
                  <w:divBdr>
                    <w:top w:val="none" w:sz="0" w:space="0" w:color="auto"/>
                    <w:left w:val="none" w:sz="0" w:space="0" w:color="auto"/>
                    <w:bottom w:val="none" w:sz="0" w:space="0" w:color="auto"/>
                    <w:right w:val="none" w:sz="0" w:space="0" w:color="auto"/>
                  </w:divBdr>
                  <w:divsChild>
                    <w:div w:id="1741440116">
                      <w:marLeft w:val="0"/>
                      <w:marRight w:val="0"/>
                      <w:marTop w:val="0"/>
                      <w:marBottom w:val="0"/>
                      <w:divBdr>
                        <w:top w:val="none" w:sz="0" w:space="0" w:color="auto"/>
                        <w:left w:val="none" w:sz="0" w:space="0" w:color="auto"/>
                        <w:bottom w:val="none" w:sz="0" w:space="0" w:color="auto"/>
                        <w:right w:val="none" w:sz="0" w:space="0" w:color="auto"/>
                      </w:divBdr>
                      <w:divsChild>
                        <w:div w:id="194283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749362">
      <w:bodyDiv w:val="1"/>
      <w:marLeft w:val="0"/>
      <w:marRight w:val="0"/>
      <w:marTop w:val="0"/>
      <w:marBottom w:val="0"/>
      <w:divBdr>
        <w:top w:val="none" w:sz="0" w:space="0" w:color="auto"/>
        <w:left w:val="none" w:sz="0" w:space="0" w:color="auto"/>
        <w:bottom w:val="none" w:sz="0" w:space="0" w:color="auto"/>
        <w:right w:val="none" w:sz="0" w:space="0" w:color="auto"/>
      </w:divBdr>
    </w:div>
    <w:div w:id="1711149416">
      <w:bodyDiv w:val="1"/>
      <w:marLeft w:val="0"/>
      <w:marRight w:val="0"/>
      <w:marTop w:val="0"/>
      <w:marBottom w:val="0"/>
      <w:divBdr>
        <w:top w:val="none" w:sz="0" w:space="0" w:color="auto"/>
        <w:left w:val="none" w:sz="0" w:space="0" w:color="auto"/>
        <w:bottom w:val="none" w:sz="0" w:space="0" w:color="auto"/>
        <w:right w:val="none" w:sz="0" w:space="0" w:color="auto"/>
      </w:divBdr>
      <w:divsChild>
        <w:div w:id="203953376">
          <w:marLeft w:val="0"/>
          <w:marRight w:val="0"/>
          <w:marTop w:val="0"/>
          <w:marBottom w:val="0"/>
          <w:divBdr>
            <w:top w:val="none" w:sz="0" w:space="0" w:color="auto"/>
            <w:left w:val="single" w:sz="6" w:space="15" w:color="B4B4B4"/>
            <w:bottom w:val="single" w:sz="6" w:space="0" w:color="B4B4B4"/>
            <w:right w:val="single" w:sz="6" w:space="15" w:color="B4B4B4"/>
          </w:divBdr>
          <w:divsChild>
            <w:div w:id="657851292">
              <w:marLeft w:val="0"/>
              <w:marRight w:val="0"/>
              <w:marTop w:val="0"/>
              <w:marBottom w:val="0"/>
              <w:divBdr>
                <w:top w:val="none" w:sz="0" w:space="0" w:color="auto"/>
                <w:left w:val="none" w:sz="0" w:space="0" w:color="auto"/>
                <w:bottom w:val="none" w:sz="0" w:space="0" w:color="auto"/>
                <w:right w:val="none" w:sz="0" w:space="0" w:color="auto"/>
              </w:divBdr>
              <w:divsChild>
                <w:div w:id="1292246990">
                  <w:marLeft w:val="-300"/>
                  <w:marRight w:val="0"/>
                  <w:marTop w:val="0"/>
                  <w:marBottom w:val="0"/>
                  <w:divBdr>
                    <w:top w:val="none" w:sz="0" w:space="0" w:color="auto"/>
                    <w:left w:val="none" w:sz="0" w:space="0" w:color="auto"/>
                    <w:bottom w:val="none" w:sz="0" w:space="0" w:color="auto"/>
                    <w:right w:val="none" w:sz="0" w:space="0" w:color="auto"/>
                  </w:divBdr>
                  <w:divsChild>
                    <w:div w:id="26564813">
                      <w:marLeft w:val="0"/>
                      <w:marRight w:val="0"/>
                      <w:marTop w:val="0"/>
                      <w:marBottom w:val="0"/>
                      <w:divBdr>
                        <w:top w:val="none" w:sz="0" w:space="0" w:color="auto"/>
                        <w:left w:val="none" w:sz="0" w:space="0" w:color="auto"/>
                        <w:bottom w:val="none" w:sz="0" w:space="0" w:color="auto"/>
                        <w:right w:val="none" w:sz="0" w:space="0" w:color="auto"/>
                      </w:divBdr>
                      <w:divsChild>
                        <w:div w:id="772286333">
                          <w:marLeft w:val="-300"/>
                          <w:marRight w:val="0"/>
                          <w:marTop w:val="0"/>
                          <w:marBottom w:val="0"/>
                          <w:divBdr>
                            <w:top w:val="none" w:sz="0" w:space="0" w:color="auto"/>
                            <w:left w:val="none" w:sz="0" w:space="0" w:color="auto"/>
                            <w:bottom w:val="none" w:sz="0" w:space="0" w:color="auto"/>
                            <w:right w:val="none" w:sz="0" w:space="0" w:color="auto"/>
                          </w:divBdr>
                          <w:divsChild>
                            <w:div w:id="604190528">
                              <w:marLeft w:val="0"/>
                              <w:marRight w:val="120"/>
                              <w:marTop w:val="120"/>
                              <w:marBottom w:val="120"/>
                              <w:divBdr>
                                <w:top w:val="single" w:sz="6" w:space="4" w:color="E8E8E8"/>
                                <w:left w:val="single" w:sz="6" w:space="0" w:color="E8E8E8"/>
                                <w:bottom w:val="single" w:sz="6" w:space="31" w:color="E8E8E8"/>
                                <w:right w:val="single" w:sz="6" w:space="0" w:color="E8E8E8"/>
                              </w:divBdr>
                            </w:div>
                          </w:divsChild>
                        </w:div>
                      </w:divsChild>
                    </w:div>
                  </w:divsChild>
                </w:div>
              </w:divsChild>
            </w:div>
          </w:divsChild>
        </w:div>
      </w:divsChild>
    </w:div>
    <w:div w:id="1888106663">
      <w:bodyDiv w:val="1"/>
      <w:marLeft w:val="0"/>
      <w:marRight w:val="0"/>
      <w:marTop w:val="0"/>
      <w:marBottom w:val="0"/>
      <w:divBdr>
        <w:top w:val="none" w:sz="0" w:space="0" w:color="auto"/>
        <w:left w:val="none" w:sz="0" w:space="0" w:color="auto"/>
        <w:bottom w:val="none" w:sz="0" w:space="0" w:color="auto"/>
        <w:right w:val="none" w:sz="0" w:space="0" w:color="auto"/>
      </w:divBdr>
      <w:divsChild>
        <w:div w:id="1843474589">
          <w:marLeft w:val="0"/>
          <w:marRight w:val="0"/>
          <w:marTop w:val="0"/>
          <w:marBottom w:val="0"/>
          <w:divBdr>
            <w:top w:val="none" w:sz="0" w:space="0" w:color="auto"/>
            <w:left w:val="none" w:sz="0" w:space="0" w:color="auto"/>
            <w:bottom w:val="none" w:sz="0" w:space="0" w:color="auto"/>
            <w:right w:val="none" w:sz="0" w:space="0" w:color="auto"/>
          </w:divBdr>
          <w:divsChild>
            <w:div w:id="587932283">
              <w:marLeft w:val="0"/>
              <w:marRight w:val="0"/>
              <w:marTop w:val="0"/>
              <w:marBottom w:val="0"/>
              <w:divBdr>
                <w:top w:val="none" w:sz="0" w:space="0" w:color="auto"/>
                <w:left w:val="none" w:sz="0" w:space="0" w:color="auto"/>
                <w:bottom w:val="none" w:sz="0" w:space="0" w:color="auto"/>
                <w:right w:val="none" w:sz="0" w:space="0" w:color="auto"/>
              </w:divBdr>
              <w:divsChild>
                <w:div w:id="1933857188">
                  <w:marLeft w:val="0"/>
                  <w:marRight w:val="0"/>
                  <w:marTop w:val="0"/>
                  <w:marBottom w:val="0"/>
                  <w:divBdr>
                    <w:top w:val="none" w:sz="0" w:space="0" w:color="auto"/>
                    <w:left w:val="none" w:sz="0" w:space="0" w:color="auto"/>
                    <w:bottom w:val="none" w:sz="0" w:space="0" w:color="auto"/>
                    <w:right w:val="none" w:sz="0" w:space="0" w:color="auto"/>
                  </w:divBdr>
                  <w:divsChild>
                    <w:div w:id="2145347351">
                      <w:marLeft w:val="0"/>
                      <w:marRight w:val="0"/>
                      <w:marTop w:val="0"/>
                      <w:marBottom w:val="0"/>
                      <w:divBdr>
                        <w:top w:val="none" w:sz="0" w:space="0" w:color="auto"/>
                        <w:left w:val="none" w:sz="0" w:space="0" w:color="auto"/>
                        <w:bottom w:val="none" w:sz="0" w:space="0" w:color="auto"/>
                        <w:right w:val="none" w:sz="0" w:space="0" w:color="auto"/>
                      </w:divBdr>
                      <w:divsChild>
                        <w:div w:id="704331817">
                          <w:marLeft w:val="0"/>
                          <w:marRight w:val="0"/>
                          <w:marTop w:val="0"/>
                          <w:marBottom w:val="0"/>
                          <w:divBdr>
                            <w:top w:val="none" w:sz="0" w:space="0" w:color="auto"/>
                            <w:left w:val="none" w:sz="0" w:space="0" w:color="auto"/>
                            <w:bottom w:val="none" w:sz="0" w:space="0" w:color="auto"/>
                            <w:right w:val="none" w:sz="0" w:space="0" w:color="auto"/>
                          </w:divBdr>
                          <w:divsChild>
                            <w:div w:id="1845776307">
                              <w:marLeft w:val="0"/>
                              <w:marRight w:val="300"/>
                              <w:marTop w:val="180"/>
                              <w:marBottom w:val="0"/>
                              <w:divBdr>
                                <w:top w:val="none" w:sz="0" w:space="0" w:color="auto"/>
                                <w:left w:val="none" w:sz="0" w:space="0" w:color="auto"/>
                                <w:bottom w:val="none" w:sz="0" w:space="0" w:color="auto"/>
                                <w:right w:val="none" w:sz="0" w:space="0" w:color="auto"/>
                              </w:divBdr>
                              <w:divsChild>
                                <w:div w:id="213170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1429608">
          <w:marLeft w:val="0"/>
          <w:marRight w:val="0"/>
          <w:marTop w:val="0"/>
          <w:marBottom w:val="0"/>
          <w:divBdr>
            <w:top w:val="none" w:sz="0" w:space="0" w:color="auto"/>
            <w:left w:val="none" w:sz="0" w:space="0" w:color="auto"/>
            <w:bottom w:val="none" w:sz="0" w:space="0" w:color="auto"/>
            <w:right w:val="none" w:sz="0" w:space="0" w:color="auto"/>
          </w:divBdr>
          <w:divsChild>
            <w:div w:id="194464468">
              <w:marLeft w:val="0"/>
              <w:marRight w:val="0"/>
              <w:marTop w:val="0"/>
              <w:marBottom w:val="0"/>
              <w:divBdr>
                <w:top w:val="none" w:sz="0" w:space="0" w:color="auto"/>
                <w:left w:val="none" w:sz="0" w:space="0" w:color="auto"/>
                <w:bottom w:val="none" w:sz="0" w:space="0" w:color="auto"/>
                <w:right w:val="none" w:sz="0" w:space="0" w:color="auto"/>
              </w:divBdr>
              <w:divsChild>
                <w:div w:id="1525704898">
                  <w:marLeft w:val="0"/>
                  <w:marRight w:val="0"/>
                  <w:marTop w:val="0"/>
                  <w:marBottom w:val="0"/>
                  <w:divBdr>
                    <w:top w:val="none" w:sz="0" w:space="0" w:color="auto"/>
                    <w:left w:val="none" w:sz="0" w:space="0" w:color="auto"/>
                    <w:bottom w:val="none" w:sz="0" w:space="0" w:color="auto"/>
                    <w:right w:val="none" w:sz="0" w:space="0" w:color="auto"/>
                  </w:divBdr>
                  <w:divsChild>
                    <w:div w:id="1997488208">
                      <w:marLeft w:val="0"/>
                      <w:marRight w:val="0"/>
                      <w:marTop w:val="0"/>
                      <w:marBottom w:val="0"/>
                      <w:divBdr>
                        <w:top w:val="none" w:sz="0" w:space="0" w:color="auto"/>
                        <w:left w:val="none" w:sz="0" w:space="0" w:color="auto"/>
                        <w:bottom w:val="none" w:sz="0" w:space="0" w:color="auto"/>
                        <w:right w:val="none" w:sz="0" w:space="0" w:color="auto"/>
                      </w:divBdr>
                      <w:divsChild>
                        <w:div w:id="53288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73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_odt_hyperlink" Type="http://schemas.openxmlformats.org/officeDocument/2006/relationships/hyperlink" Target="https://www.onlinedoctranslator.com/cs/?utm_source=onlinedoctranslator&amp;utm_medium=docx&amp;utm_campaign=attribution" TargetMode="Externa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_odt_logo" Type="http://schemas.openxmlformats.org/officeDocument/2006/relationships/image" Target="media/odt_attribution_logo.png"/><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onlinedoctranslator.com/cs/?utm_source=onlinedoctranslator&amp;utm_medium=docx&amp;utm_campaign=attribu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856FE-F8EA-4A65-887B-32C4908A5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1236</Words>
  <Characters>7297</Characters>
  <Application>Microsoft Office Word</Application>
  <DocSecurity>0</DocSecurity>
  <Lines>60</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European Investment Bank</Company>
  <LinksUpToDate>false</LinksUpToDate>
  <CharactersWithSpaces>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SWERDLOW Robert</dc:creator>
  <cp:keywords/>
  <dc:description/>
  <cp:lastModifiedBy>Lorenzová Petra</cp:lastModifiedBy>
  <cp:revision>2</cp:revision>
  <cp:lastPrinted>2019-07-09T13:49:00Z</cp:lastPrinted>
  <dcterms:created xsi:type="dcterms:W3CDTF">2021-12-17T09:46:00Z</dcterms:created>
  <dcterms:modified xsi:type="dcterms:W3CDTF">2021-12-17T09:46:00Z</dcterms:modified>
</cp:coreProperties>
</file>