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C41138" w:rsidRDefault="00127795" w:rsidP="0049023F">
      <w:pPr>
        <w:pStyle w:val="Odstavecseseznamem"/>
        <w:ind w:left="0"/>
        <w:rPr>
          <w:sz w:val="20"/>
          <w:szCs w:val="20"/>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0" w:name="_Hlk468273911"/>
      <w:bookmarkStart w:id="1" w:name="_Toc470168927"/>
      <w:r w:rsidRPr="00821B94">
        <w:rPr>
          <w:sz w:val="22"/>
          <w:szCs w:val="22"/>
        </w:rPr>
        <w:t>Název zakázky</w:t>
      </w:r>
    </w:p>
    <w:p w:rsidR="00821B94" w:rsidRPr="004B1817" w:rsidRDefault="00821B94" w:rsidP="00821B94">
      <w:pPr>
        <w:rPr>
          <w:b/>
        </w:rPr>
      </w:pPr>
      <w:r w:rsidRPr="004B1817">
        <w:rPr>
          <w:b/>
        </w:rPr>
        <w:t>„</w:t>
      </w:r>
      <w:r w:rsidR="00A114A5">
        <w:rPr>
          <w:rFonts w:cstheme="minorHAnsi"/>
          <w:b/>
          <w:color w:val="000000"/>
          <w:spacing w:val="-8"/>
        </w:rPr>
        <w:t>Poskytování komple</w:t>
      </w:r>
      <w:r w:rsidR="00BE428B">
        <w:rPr>
          <w:rFonts w:cstheme="minorHAnsi"/>
          <w:b/>
          <w:color w:val="000000"/>
          <w:spacing w:val="-8"/>
        </w:rPr>
        <w:t>xních služeb BOZP a PO 2021-2022</w:t>
      </w:r>
      <w:r w:rsidRPr="004B1817">
        <w:rPr>
          <w:b/>
        </w:rPr>
        <w:t>“</w:t>
      </w:r>
    </w:p>
    <w:p w:rsidR="00821B94" w:rsidRPr="00A31C1B" w:rsidRDefault="00821B94" w:rsidP="00821B94">
      <w:pPr>
        <w:jc w:val="both"/>
        <w:rPr>
          <w:rFonts w:eastAsia="Arial Unicode MS"/>
          <w:sz w:val="22"/>
          <w:szCs w:val="22"/>
        </w:rPr>
      </w:pPr>
      <w:r w:rsidRPr="004B1817">
        <w:rPr>
          <w:rFonts w:eastAsia="Arial Unicode MS"/>
          <w:sz w:val="22"/>
          <w:szCs w:val="22"/>
        </w:rPr>
        <w:t>Toto zad</w:t>
      </w:r>
      <w:r w:rsidR="000E2F46">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w:t>
      </w:r>
      <w:r w:rsidR="00FB7B48">
        <w:rPr>
          <w:rFonts w:eastAsia="Arial Unicode MS"/>
          <w:sz w:val="22"/>
          <w:szCs w:val="22"/>
        </w:rPr>
        <w:t>y</w:t>
      </w:r>
      <w:r w:rsidR="00EE0157">
        <w:rPr>
          <w:rFonts w:ascii="Tahoma" w:hAnsi="Tahoma" w:cs="Tahoma"/>
          <w:b/>
          <w:bCs/>
          <w:color w:val="000000"/>
          <w:sz w:val="19"/>
          <w:szCs w:val="19"/>
          <w:shd w:val="clear" w:color="auto" w:fill="FFFFFF"/>
        </w:rPr>
        <w:t xml:space="preserve"> P20V0000</w:t>
      </w:r>
      <w:r w:rsidR="00E348C5">
        <w:rPr>
          <w:rFonts w:ascii="Tahoma" w:hAnsi="Tahoma" w:cs="Tahoma"/>
          <w:b/>
          <w:bCs/>
          <w:color w:val="000000"/>
          <w:sz w:val="19"/>
          <w:szCs w:val="19"/>
          <w:shd w:val="clear" w:color="auto" w:fill="FFFFFF"/>
        </w:rPr>
        <w:t>801</w:t>
      </w:r>
    </w:p>
    <w:p w:rsidR="00127795" w:rsidRPr="00821B94" w:rsidRDefault="00A45003" w:rsidP="00EF2B5A">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0"/>
      <w:r w:rsidRPr="00C41138">
        <w:rPr>
          <w:sz w:val="22"/>
          <w:szCs w:val="22"/>
        </w:rPr>
        <w:t>plnění veřejné zakázky</w:t>
      </w:r>
      <w:bookmarkStart w:id="2" w:name="_GoBack"/>
      <w:bookmarkEnd w:id="1"/>
      <w:bookmarkEnd w:id="2"/>
    </w:p>
    <w:p w:rsidR="00A114A5" w:rsidRPr="00A114A5" w:rsidRDefault="00A114A5" w:rsidP="00A114A5">
      <w:pPr>
        <w:jc w:val="both"/>
        <w:rPr>
          <w:rFonts w:eastAsia="Arial Unicode MS"/>
          <w:sz w:val="22"/>
          <w:szCs w:val="22"/>
        </w:rPr>
      </w:pPr>
      <w:r w:rsidRPr="00A114A5">
        <w:rPr>
          <w:rFonts w:eastAsia="Arial Unicode MS"/>
          <w:sz w:val="22"/>
          <w:szCs w:val="22"/>
        </w:rPr>
        <w:t xml:space="preserve">Předmětem plnění veřejné zakázky je komplexní zajištění odborných činností a poradenství v oblasti bezpečnosti a ochrany zdraví při práci (BOZP) a požární ochrany (PO) pro Zdravotnickou záchrannou službu Karlovarského kraje, příspěvkovou organizaci, po dobu </w:t>
      </w:r>
      <w:r w:rsidR="00BE428B">
        <w:rPr>
          <w:rFonts w:eastAsia="Arial Unicode MS"/>
          <w:sz w:val="22"/>
          <w:szCs w:val="22"/>
        </w:rPr>
        <w:t>24</w:t>
      </w:r>
      <w:r w:rsidR="006B74C9">
        <w:rPr>
          <w:rFonts w:eastAsia="Arial Unicode MS"/>
          <w:sz w:val="22"/>
          <w:szCs w:val="22"/>
        </w:rPr>
        <w:t xml:space="preserve"> měsíců</w:t>
      </w:r>
      <w:r w:rsidRPr="00A114A5">
        <w:rPr>
          <w:rFonts w:eastAsia="Arial Unicode MS"/>
          <w:sz w:val="22"/>
          <w:szCs w:val="22"/>
        </w:rPr>
        <w:t xml:space="preserve">, v rozsahu stanoveném přílohou č. 3 </w:t>
      </w:r>
      <w:proofErr w:type="gramStart"/>
      <w:r w:rsidRPr="00A114A5">
        <w:rPr>
          <w:rFonts w:eastAsia="Arial Unicode MS"/>
          <w:sz w:val="22"/>
          <w:szCs w:val="22"/>
        </w:rPr>
        <w:t>této</w:t>
      </w:r>
      <w:proofErr w:type="gramEnd"/>
      <w:r w:rsidRPr="00A114A5">
        <w:rPr>
          <w:rFonts w:eastAsia="Arial Unicode MS"/>
          <w:sz w:val="22"/>
          <w:szCs w:val="22"/>
        </w:rPr>
        <w:t xml:space="preserve"> výzvy. </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Plnění zakázky bude probíhat v sídle zadavatele a na příslušných výjezdových základnách.</w:t>
      </w:r>
    </w:p>
    <w:p w:rsidR="00A114A5" w:rsidRPr="00A114A5" w:rsidRDefault="00A114A5" w:rsidP="00A114A5">
      <w:pPr>
        <w:jc w:val="both"/>
        <w:rPr>
          <w:rFonts w:eastAsia="Arial Unicode MS"/>
          <w:sz w:val="22"/>
          <w:szCs w:val="22"/>
        </w:rPr>
      </w:pPr>
      <w:r w:rsidRPr="00A114A5">
        <w:rPr>
          <w:rFonts w:eastAsia="Arial Unicode MS"/>
          <w:sz w:val="22"/>
          <w:szCs w:val="22"/>
        </w:rPr>
        <w:t>Celkový počet zaměstnanců zadavatele je 315 (z toho 276 zdravotnických profesí, 27 THP, 12 dělnické profese).</w:t>
      </w:r>
    </w:p>
    <w:p w:rsidR="00A114A5" w:rsidRPr="00A114A5" w:rsidRDefault="00A114A5" w:rsidP="00A114A5">
      <w:pPr>
        <w:jc w:val="both"/>
        <w:rPr>
          <w:rFonts w:eastAsia="Arial Unicode MS"/>
          <w:sz w:val="22"/>
          <w:szCs w:val="22"/>
        </w:rPr>
      </w:pPr>
    </w:p>
    <w:p w:rsidR="00A114A5" w:rsidRDefault="00A114A5" w:rsidP="00A114A5">
      <w:pPr>
        <w:jc w:val="both"/>
        <w:rPr>
          <w:rFonts w:eastAsia="Arial Unicode MS"/>
          <w:sz w:val="22"/>
          <w:szCs w:val="22"/>
        </w:rPr>
      </w:pPr>
      <w:r w:rsidRPr="00A114A5">
        <w:rPr>
          <w:rFonts w:eastAsia="Arial Unicode MS"/>
          <w:sz w:val="22"/>
          <w:szCs w:val="22"/>
        </w:rPr>
        <w:t xml:space="preserve">Výjezdové základny: </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Karlovy Vary </w:t>
      </w:r>
    </w:p>
    <w:p w:rsidR="00A114A5" w:rsidRPr="00A114A5" w:rsidRDefault="00A114A5" w:rsidP="00A114A5">
      <w:pPr>
        <w:jc w:val="both"/>
        <w:rPr>
          <w:rFonts w:eastAsia="Arial Unicode MS"/>
          <w:sz w:val="22"/>
          <w:szCs w:val="22"/>
        </w:rPr>
      </w:pPr>
      <w:r w:rsidRPr="00A114A5">
        <w:rPr>
          <w:rFonts w:eastAsia="Arial Unicode MS"/>
          <w:sz w:val="22"/>
          <w:szCs w:val="22"/>
        </w:rPr>
        <w:t xml:space="preserve">Karlovy Vary, Závodní 390/98 C, 360 06 Karlovy Vary, </w:t>
      </w:r>
    </w:p>
    <w:p w:rsidR="00A114A5" w:rsidRPr="00A114A5" w:rsidRDefault="00A114A5" w:rsidP="00A114A5">
      <w:pPr>
        <w:jc w:val="both"/>
        <w:rPr>
          <w:rFonts w:eastAsia="Arial Unicode MS"/>
          <w:sz w:val="22"/>
          <w:szCs w:val="22"/>
        </w:rPr>
      </w:pPr>
      <w:r w:rsidRPr="00A114A5">
        <w:rPr>
          <w:rFonts w:eastAsia="Arial Unicode MS"/>
          <w:sz w:val="22"/>
          <w:szCs w:val="22"/>
        </w:rPr>
        <w:t>Nejdek, Karlovarská 1347, 362 21 Nejdek,</w:t>
      </w:r>
    </w:p>
    <w:p w:rsidR="00A114A5" w:rsidRPr="00A114A5" w:rsidRDefault="00A114A5" w:rsidP="00A114A5">
      <w:pPr>
        <w:jc w:val="both"/>
        <w:rPr>
          <w:rFonts w:eastAsia="Arial Unicode MS"/>
          <w:sz w:val="22"/>
          <w:szCs w:val="22"/>
        </w:rPr>
      </w:pPr>
      <w:r w:rsidRPr="00A114A5">
        <w:rPr>
          <w:rFonts w:eastAsia="Arial Unicode MS"/>
          <w:sz w:val="22"/>
          <w:szCs w:val="22"/>
        </w:rPr>
        <w:t>Ostrov, Jáchymovská 1491, 363 01 Ostrov</w:t>
      </w:r>
    </w:p>
    <w:p w:rsidR="00A114A5" w:rsidRPr="00A114A5" w:rsidRDefault="00A114A5" w:rsidP="00A114A5">
      <w:pPr>
        <w:jc w:val="both"/>
        <w:rPr>
          <w:rFonts w:eastAsia="Arial Unicode MS"/>
          <w:sz w:val="22"/>
          <w:szCs w:val="22"/>
        </w:rPr>
      </w:pPr>
      <w:r w:rsidRPr="00A114A5">
        <w:rPr>
          <w:rFonts w:eastAsia="Arial Unicode MS"/>
          <w:sz w:val="22"/>
          <w:szCs w:val="22"/>
        </w:rPr>
        <w:t>Toužim, Sídliště 526, 364 01 Toužim,</w:t>
      </w:r>
    </w:p>
    <w:p w:rsidR="00A114A5" w:rsidRPr="00A114A5" w:rsidRDefault="00A114A5" w:rsidP="00A114A5">
      <w:pPr>
        <w:jc w:val="both"/>
        <w:rPr>
          <w:rFonts w:eastAsia="Arial Unicode MS"/>
          <w:sz w:val="22"/>
          <w:szCs w:val="22"/>
        </w:rPr>
      </w:pPr>
      <w:r w:rsidRPr="00A114A5">
        <w:rPr>
          <w:rFonts w:eastAsia="Arial Unicode MS"/>
          <w:sz w:val="22"/>
          <w:szCs w:val="22"/>
        </w:rPr>
        <w:t>Žlutice, Karlovarská 530, 364 52 Žlutice</w:t>
      </w:r>
    </w:p>
    <w:p w:rsid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Sokolov </w:t>
      </w:r>
    </w:p>
    <w:p w:rsidR="00A114A5" w:rsidRPr="00A114A5" w:rsidRDefault="00A114A5" w:rsidP="00A114A5">
      <w:pPr>
        <w:jc w:val="both"/>
        <w:rPr>
          <w:rFonts w:eastAsia="Arial Unicode MS"/>
          <w:sz w:val="22"/>
          <w:szCs w:val="22"/>
        </w:rPr>
      </w:pPr>
      <w:r w:rsidRPr="00A114A5">
        <w:rPr>
          <w:rFonts w:eastAsia="Arial Unicode MS"/>
          <w:sz w:val="22"/>
          <w:szCs w:val="22"/>
        </w:rPr>
        <w:t>Sokolov, Slovenská 1596, 356 01 Sokolov,</w:t>
      </w:r>
    </w:p>
    <w:p w:rsidR="00A114A5" w:rsidRPr="00A114A5" w:rsidRDefault="00A114A5" w:rsidP="00A114A5">
      <w:pPr>
        <w:jc w:val="both"/>
        <w:rPr>
          <w:rFonts w:eastAsia="Arial Unicode MS"/>
          <w:sz w:val="22"/>
          <w:szCs w:val="22"/>
        </w:rPr>
      </w:pPr>
      <w:r w:rsidRPr="00A114A5">
        <w:rPr>
          <w:rFonts w:eastAsia="Arial Unicode MS"/>
          <w:sz w:val="22"/>
          <w:szCs w:val="22"/>
        </w:rPr>
        <w:t>Kraslice, Husova 127, 358 01 Kraslice,</w:t>
      </w:r>
    </w:p>
    <w:p w:rsidR="00A114A5" w:rsidRDefault="00A114A5" w:rsidP="00A114A5">
      <w:pPr>
        <w:jc w:val="both"/>
        <w:rPr>
          <w:rFonts w:eastAsia="Arial Unicode MS"/>
          <w:sz w:val="22"/>
          <w:szCs w:val="22"/>
        </w:rPr>
      </w:pPr>
      <w:r w:rsidRPr="00A114A5">
        <w:rPr>
          <w:rFonts w:eastAsia="Arial Unicode MS"/>
          <w:sz w:val="22"/>
          <w:szCs w:val="22"/>
        </w:rPr>
        <w:t>Horní Slavkov, Větrná 1015, 357 31 Horní Slavkov</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Cheb </w:t>
      </w:r>
    </w:p>
    <w:p w:rsidR="00A114A5" w:rsidRPr="00A114A5" w:rsidRDefault="00A114A5" w:rsidP="00A114A5">
      <w:pPr>
        <w:jc w:val="both"/>
        <w:rPr>
          <w:rFonts w:eastAsia="Arial Unicode MS"/>
          <w:sz w:val="22"/>
          <w:szCs w:val="22"/>
        </w:rPr>
      </w:pPr>
      <w:r w:rsidRPr="00A114A5">
        <w:rPr>
          <w:rFonts w:eastAsia="Arial Unicode MS"/>
          <w:sz w:val="22"/>
          <w:szCs w:val="22"/>
        </w:rPr>
        <w:t>Cheb, K Nemocnici 17, 350 02 Cheb,</w:t>
      </w:r>
    </w:p>
    <w:p w:rsidR="00A114A5" w:rsidRPr="00A114A5" w:rsidRDefault="00A114A5" w:rsidP="00A114A5">
      <w:pPr>
        <w:jc w:val="both"/>
        <w:rPr>
          <w:rFonts w:eastAsia="Arial Unicode MS"/>
          <w:sz w:val="22"/>
          <w:szCs w:val="22"/>
        </w:rPr>
      </w:pPr>
      <w:r w:rsidRPr="00A114A5">
        <w:rPr>
          <w:rFonts w:eastAsia="Arial Unicode MS"/>
          <w:sz w:val="22"/>
          <w:szCs w:val="22"/>
        </w:rPr>
        <w:t>Aš, Okružní 2545, 352 01 Aš,</w:t>
      </w:r>
    </w:p>
    <w:p w:rsidR="00A114A5" w:rsidRPr="00A114A5" w:rsidRDefault="00A114A5" w:rsidP="00A114A5">
      <w:pPr>
        <w:jc w:val="both"/>
        <w:rPr>
          <w:rFonts w:eastAsia="Arial Unicode MS"/>
          <w:sz w:val="22"/>
          <w:szCs w:val="22"/>
        </w:rPr>
      </w:pPr>
      <w:r w:rsidRPr="00A114A5">
        <w:rPr>
          <w:rFonts w:eastAsia="Arial Unicode MS"/>
          <w:sz w:val="22"/>
          <w:szCs w:val="22"/>
        </w:rPr>
        <w:t>Mariánské Lázně, U Nemocnice 464, 353 01 Mariánské Lázně,</w:t>
      </w:r>
    </w:p>
    <w:p w:rsidR="00A114A5" w:rsidRPr="00A114A5" w:rsidRDefault="00A114A5" w:rsidP="00A114A5">
      <w:pPr>
        <w:jc w:val="both"/>
        <w:rPr>
          <w:rFonts w:eastAsia="Arial Unicode MS"/>
          <w:sz w:val="22"/>
          <w:szCs w:val="22"/>
        </w:rPr>
      </w:pPr>
      <w:r w:rsidRPr="00A114A5">
        <w:rPr>
          <w:rFonts w:eastAsia="Arial Unicode MS"/>
          <w:sz w:val="22"/>
          <w:szCs w:val="22"/>
        </w:rPr>
        <w:t>Teplá, Pivovarská 333, 364 61 Teplá,</w:t>
      </w:r>
    </w:p>
    <w:p w:rsidR="00A114A5" w:rsidRPr="00A114A5" w:rsidRDefault="00A114A5" w:rsidP="00A114A5">
      <w:pPr>
        <w:jc w:val="both"/>
        <w:rPr>
          <w:rFonts w:eastAsia="Arial Unicode MS"/>
          <w:sz w:val="22"/>
          <w:szCs w:val="22"/>
        </w:rPr>
      </w:pPr>
      <w:r w:rsidRPr="00A114A5">
        <w:rPr>
          <w:rFonts w:eastAsia="Arial Unicode MS"/>
          <w:sz w:val="22"/>
          <w:szCs w:val="22"/>
        </w:rPr>
        <w:t>Luby, Malé náměstí 35, 351 37 Luby</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Příkazní smlouva (dále jen „smlouva“) bude uzav</w:t>
      </w:r>
      <w:r>
        <w:rPr>
          <w:rFonts w:eastAsia="Arial Unicode MS"/>
          <w:sz w:val="22"/>
          <w:szCs w:val="22"/>
        </w:rPr>
        <w:t>řena s</w:t>
      </w:r>
      <w:r w:rsidRPr="00A114A5">
        <w:rPr>
          <w:rFonts w:eastAsia="Arial Unicode MS"/>
          <w:sz w:val="22"/>
          <w:szCs w:val="22"/>
        </w:rPr>
        <w:t xml:space="preserve"> jedním účastníkem s tím, že veškeré smluvní podmínky jsou vymezeny v této smlouvě.  Plnění bude probíhat postupně v rámci komplexního zajišťování služeb, dle potřeb zadavatele, s měsíční fakturací.</w:t>
      </w:r>
    </w:p>
    <w:p w:rsidR="00A114A5" w:rsidRPr="00A114A5" w:rsidRDefault="00A114A5" w:rsidP="00A114A5">
      <w:pPr>
        <w:jc w:val="both"/>
        <w:rPr>
          <w:rFonts w:eastAsia="Arial Unicode MS"/>
          <w:sz w:val="22"/>
          <w:szCs w:val="22"/>
        </w:rPr>
      </w:pPr>
    </w:p>
    <w:p w:rsidR="00F03957" w:rsidRDefault="00A114A5" w:rsidP="00A114A5">
      <w:pPr>
        <w:jc w:val="both"/>
        <w:rPr>
          <w:rFonts w:eastAsia="Arial Unicode MS"/>
          <w:sz w:val="22"/>
          <w:szCs w:val="22"/>
        </w:rPr>
      </w:pPr>
      <w:r w:rsidRPr="00A114A5">
        <w:rPr>
          <w:rFonts w:eastAsia="Arial Unicode MS"/>
          <w:sz w:val="22"/>
          <w:szCs w:val="22"/>
        </w:rPr>
        <w:t>Předpokládaná hodnota veřejné zakázky činí cca 336.000,- Kč bez DPH.</w:t>
      </w:r>
    </w:p>
    <w:p w:rsidR="00A114A5" w:rsidRDefault="00A114A5" w:rsidP="00A114A5">
      <w:pPr>
        <w:jc w:val="both"/>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lastRenderedPageBreak/>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701432">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sidR="00F03957">
        <w:rPr>
          <w:rFonts w:eastAsia="Arial Unicode MS"/>
          <w:sz w:val="22"/>
          <w:szCs w:val="22"/>
        </w:rPr>
        <w:t>ích částek smluvní ceny</w:t>
      </w:r>
      <w:r>
        <w:rPr>
          <w:rFonts w:eastAsia="Arial Unicode MS"/>
          <w:sz w:val="22"/>
          <w:szCs w:val="22"/>
        </w:rPr>
        <w:t xml:space="preserve">, doplnění kontaktních </w:t>
      </w:r>
      <w:r w:rsidR="00F03957">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w:t>
      </w:r>
      <w:r w:rsidR="00285F97">
        <w:rPr>
          <w:rFonts w:eastAsia="Arial Unicode MS"/>
          <w:sz w:val="22"/>
          <w:szCs w:val="22"/>
        </w:rPr>
        <w:t xml:space="preserve">ti upravovat znění jednotlivých </w:t>
      </w:r>
      <w:r w:rsidR="005D3C54" w:rsidRPr="005D3C54">
        <w:rPr>
          <w:rFonts w:eastAsia="Arial Unicode MS"/>
          <w:sz w:val="22"/>
          <w:szCs w:val="22"/>
        </w:rPr>
        <w:t>ustanovení smlouvy.</w:t>
      </w: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3" w:name="_Toc470168928"/>
      <w:bookmarkStart w:id="4" w:name="_Toc381646801"/>
      <w:bookmarkStart w:id="5" w:name="_Toc393735073"/>
      <w:bookmarkStart w:id="6" w:name="_Toc396740770"/>
      <w:bookmarkStart w:id="7" w:name="_Toc397361541"/>
      <w:bookmarkStart w:id="8"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3"/>
      <w:r w:rsidRPr="00C41138">
        <w:rPr>
          <w:b/>
          <w:bCs/>
          <w:sz w:val="22"/>
          <w:szCs w:val="22"/>
        </w:rPr>
        <w:t xml:space="preserve"> </w:t>
      </w:r>
      <w:bookmarkEnd w:id="4"/>
      <w:bookmarkEnd w:id="5"/>
      <w:bookmarkEnd w:id="6"/>
      <w:bookmarkEnd w:id="7"/>
      <w:r w:rsidR="004B1817">
        <w:rPr>
          <w:b/>
          <w:bCs/>
          <w:sz w:val="22"/>
          <w:szCs w:val="22"/>
        </w:rPr>
        <w:t>veřejné zakázky</w:t>
      </w:r>
    </w:p>
    <w:bookmarkEnd w:id="8"/>
    <w:p w:rsidR="00C70EBD" w:rsidRPr="00C70EBD" w:rsidRDefault="00127795" w:rsidP="00C70EBD">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5722DB">
        <w:rPr>
          <w:sz w:val="22"/>
          <w:szCs w:val="22"/>
        </w:rPr>
        <w:t>10</w:t>
      </w:r>
      <w:r w:rsidR="00C70EBD">
        <w:rPr>
          <w:sz w:val="22"/>
          <w:szCs w:val="22"/>
        </w:rPr>
        <w:t>/2020</w:t>
      </w:r>
      <w:r w:rsidR="00163B32" w:rsidRPr="00C41138">
        <w:rPr>
          <w:sz w:val="22"/>
          <w:szCs w:val="22"/>
        </w:rPr>
        <w:t xml:space="preserve">, </w:t>
      </w:r>
      <w:bookmarkStart w:id="9" w:name="_Toc470168934"/>
      <w:bookmarkStart w:id="10" w:name="_Toc335124633"/>
      <w:bookmarkStart w:id="11" w:name="_Toc335131757"/>
      <w:bookmarkStart w:id="12" w:name="_Toc335375502"/>
      <w:bookmarkStart w:id="13" w:name="_Toc335379266"/>
      <w:bookmarkStart w:id="14" w:name="_Toc470168929"/>
      <w:r w:rsidR="00C70EBD" w:rsidRPr="00C70EBD">
        <w:rPr>
          <w:sz w:val="22"/>
          <w:szCs w:val="22"/>
        </w:rPr>
        <w:t xml:space="preserve">dodávky budou realizovány na základě objednávky dle potřeb zadavatele postupně v průběhu </w:t>
      </w:r>
      <w:r w:rsidR="005722DB">
        <w:rPr>
          <w:sz w:val="22"/>
          <w:szCs w:val="22"/>
        </w:rPr>
        <w:t>24</w:t>
      </w:r>
      <w:r w:rsidR="00285F97">
        <w:rPr>
          <w:sz w:val="22"/>
          <w:szCs w:val="22"/>
        </w:rPr>
        <w:t xml:space="preserve"> měsíců</w:t>
      </w:r>
      <w:r w:rsidR="00C70EBD">
        <w:rPr>
          <w:sz w:val="22"/>
          <w:szCs w:val="22"/>
        </w:rPr>
        <w:t>.</w:t>
      </w:r>
    </w:p>
    <w:p w:rsidR="00C70EBD" w:rsidRPr="00C70EBD" w:rsidRDefault="00C70EBD" w:rsidP="00C70EBD">
      <w:pPr>
        <w:autoSpaceDE w:val="0"/>
        <w:autoSpaceDN w:val="0"/>
        <w:adjustRightInd w:val="0"/>
        <w:jc w:val="both"/>
        <w:rPr>
          <w:sz w:val="22"/>
          <w:szCs w:val="22"/>
        </w:rPr>
      </w:pPr>
    </w:p>
    <w:p w:rsidR="00DC5DED" w:rsidRDefault="00C70EBD" w:rsidP="00C70EBD">
      <w:pPr>
        <w:autoSpaceDE w:val="0"/>
        <w:autoSpaceDN w:val="0"/>
        <w:adjustRightInd w:val="0"/>
        <w:jc w:val="both"/>
        <w:rPr>
          <w:sz w:val="22"/>
          <w:szCs w:val="22"/>
        </w:rPr>
      </w:pPr>
      <w:r w:rsidRPr="00C70EBD">
        <w:rPr>
          <w:sz w:val="22"/>
          <w:szCs w:val="22"/>
        </w:rPr>
        <w:t xml:space="preserve">Místem plnění veřejné zakázky </w:t>
      </w:r>
      <w:r w:rsidR="00A114A5">
        <w:rPr>
          <w:sz w:val="22"/>
          <w:szCs w:val="22"/>
        </w:rPr>
        <w:t>výjezdové základny zadavatele v Karlovarském kraji uvedené v bodu 2. této výzvy.</w:t>
      </w: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9"/>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0"/>
      <w:bookmarkEnd w:id="11"/>
      <w:bookmarkEnd w:id="12"/>
      <w:bookmarkEnd w:id="13"/>
    </w:p>
    <w:p w:rsidR="00093A6B" w:rsidRDefault="00187FA4" w:rsidP="000E13F4">
      <w:pPr>
        <w:spacing w:after="120"/>
        <w:ind w:right="17"/>
        <w:jc w:val="both"/>
        <w:rPr>
          <w:sz w:val="22"/>
          <w:szCs w:val="22"/>
        </w:rPr>
      </w:pPr>
      <w:r>
        <w:rPr>
          <w:sz w:val="22"/>
          <w:szCs w:val="22"/>
        </w:rPr>
        <w:t xml:space="preserve">Nejvýhodnější nabídkou bude nabídka s nejnižší nabídkovou cenou. </w:t>
      </w: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4"/>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Default="0054115A" w:rsidP="0054115A">
      <w:pPr>
        <w:autoSpaceDE w:val="0"/>
        <w:ind w:left="426"/>
        <w:jc w:val="both"/>
        <w:rPr>
          <w:sz w:val="22"/>
          <w:szCs w:val="22"/>
        </w:rPr>
      </w:pPr>
      <w:r w:rsidRPr="00C41138">
        <w:rPr>
          <w:sz w:val="22"/>
          <w:szCs w:val="22"/>
        </w:rPr>
        <w:lastRenderedPageBreak/>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A114A5" w:rsidRDefault="00B92CD5" w:rsidP="00F83BF7">
      <w:pPr>
        <w:pStyle w:val="Bezmezer"/>
        <w:tabs>
          <w:tab w:val="left" w:pos="426"/>
        </w:tabs>
        <w:suppressAutoHyphens/>
        <w:ind w:left="426"/>
        <w:jc w:val="both"/>
        <w:rPr>
          <w:sz w:val="22"/>
          <w:szCs w:val="22"/>
        </w:rPr>
      </w:pPr>
      <w:r w:rsidRPr="00C41138">
        <w:rPr>
          <w:sz w:val="22"/>
          <w:szCs w:val="22"/>
        </w:rPr>
        <w:t xml:space="preserve">Dodavatel prokazuje splnění profesní způsobilosti ve vztahu k České republice předložením </w:t>
      </w:r>
    </w:p>
    <w:p w:rsidR="00A114A5" w:rsidRDefault="00A114A5" w:rsidP="00A114A5">
      <w:pPr>
        <w:pStyle w:val="Bezmezer"/>
        <w:tabs>
          <w:tab w:val="left" w:pos="426"/>
        </w:tabs>
        <w:suppressAutoHyphens/>
        <w:ind w:left="1410" w:hanging="984"/>
        <w:jc w:val="both"/>
        <w:rPr>
          <w:sz w:val="22"/>
          <w:szCs w:val="22"/>
        </w:rPr>
      </w:pPr>
      <w:r>
        <w:rPr>
          <w:sz w:val="22"/>
          <w:szCs w:val="22"/>
        </w:rPr>
        <w:t>a)</w:t>
      </w:r>
      <w:r>
        <w:rPr>
          <w:sz w:val="22"/>
          <w:szCs w:val="22"/>
        </w:rPr>
        <w:tab/>
      </w:r>
      <w:r>
        <w:rPr>
          <w:sz w:val="22"/>
          <w:szCs w:val="22"/>
        </w:rPr>
        <w:tab/>
      </w:r>
      <w:r w:rsidR="00B92CD5" w:rsidRPr="00C41138">
        <w:rPr>
          <w:sz w:val="22"/>
          <w:szCs w:val="22"/>
        </w:rPr>
        <w:t>výpisu z obchodního rejstříku nebo jiné obdobné evidence, pokud jiný právní předpis zá</w:t>
      </w:r>
      <w:r>
        <w:rPr>
          <w:sz w:val="22"/>
          <w:szCs w:val="22"/>
        </w:rPr>
        <w:t>pis do takové evidence vyžaduje;</w:t>
      </w:r>
    </w:p>
    <w:p w:rsidR="00A114A5" w:rsidRPr="00A114A5" w:rsidRDefault="00A114A5" w:rsidP="00A114A5">
      <w:pPr>
        <w:pStyle w:val="Bezmezer"/>
        <w:tabs>
          <w:tab w:val="left" w:pos="426"/>
        </w:tabs>
        <w:suppressAutoHyphens/>
        <w:ind w:left="1410" w:hanging="984"/>
        <w:jc w:val="both"/>
        <w:rPr>
          <w:sz w:val="22"/>
          <w:szCs w:val="22"/>
        </w:rPr>
      </w:pPr>
      <w:r>
        <w:rPr>
          <w:sz w:val="22"/>
          <w:szCs w:val="22"/>
        </w:rPr>
        <w:t>b)</w:t>
      </w:r>
      <w:r>
        <w:rPr>
          <w:sz w:val="22"/>
          <w:szCs w:val="22"/>
        </w:rPr>
        <w:tab/>
      </w:r>
      <w:r>
        <w:rPr>
          <w:sz w:val="22"/>
          <w:szCs w:val="22"/>
        </w:rPr>
        <w:tab/>
      </w:r>
      <w:r w:rsidRPr="00A114A5">
        <w:rPr>
          <w:sz w:val="22"/>
          <w:szCs w:val="22"/>
        </w:rPr>
        <w:t>dokladu o odborné způsobilosti k poskytování služeb v oblasti BOZP, vyhovující současným legislativním požadavkům na odbornou způsobilost</w:t>
      </w:r>
    </w:p>
    <w:p w:rsidR="00A114A5" w:rsidRDefault="00A114A5" w:rsidP="00A114A5">
      <w:pPr>
        <w:pStyle w:val="Bezmezer"/>
        <w:tabs>
          <w:tab w:val="left" w:pos="426"/>
        </w:tabs>
        <w:suppressAutoHyphens/>
        <w:ind w:left="1410" w:hanging="984"/>
        <w:jc w:val="both"/>
        <w:rPr>
          <w:sz w:val="22"/>
          <w:szCs w:val="22"/>
        </w:rPr>
      </w:pPr>
      <w:r>
        <w:rPr>
          <w:sz w:val="22"/>
          <w:szCs w:val="22"/>
        </w:rPr>
        <w:t>c)</w:t>
      </w:r>
      <w:r>
        <w:rPr>
          <w:sz w:val="22"/>
          <w:szCs w:val="22"/>
        </w:rPr>
        <w:tab/>
      </w:r>
      <w:r>
        <w:rPr>
          <w:sz w:val="22"/>
          <w:szCs w:val="22"/>
        </w:rPr>
        <w:tab/>
      </w:r>
      <w:r w:rsidRPr="00A114A5">
        <w:rPr>
          <w:sz w:val="22"/>
          <w:szCs w:val="22"/>
        </w:rPr>
        <w:t>doklad</w:t>
      </w:r>
      <w:r>
        <w:rPr>
          <w:sz w:val="22"/>
          <w:szCs w:val="22"/>
        </w:rPr>
        <w:t>u</w:t>
      </w:r>
      <w:r w:rsidRPr="00A114A5">
        <w:rPr>
          <w:sz w:val="22"/>
          <w:szCs w:val="22"/>
        </w:rPr>
        <w:t xml:space="preserve"> o odborné způsobilosti k poskytování služeb v oblasti požární ochrany, vyhovující současným legislativním požadavkům na odbornou způsobilost</w:t>
      </w:r>
    </w:p>
    <w:p w:rsidR="00F83BF7" w:rsidRPr="00F83BF7" w:rsidRDefault="00F83BF7" w:rsidP="00285F97">
      <w:pPr>
        <w:pStyle w:val="Bezmezer"/>
        <w:tabs>
          <w:tab w:val="left" w:pos="426"/>
        </w:tabs>
        <w:suppressAutoHyphens/>
        <w:jc w:val="both"/>
        <w:rPr>
          <w:sz w:val="22"/>
          <w:szCs w:val="22"/>
        </w:rPr>
      </w:pPr>
    </w:p>
    <w:p w:rsidR="004B0FB9"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285F97" w:rsidRDefault="00285F97" w:rsidP="00285F97">
      <w:pPr>
        <w:pStyle w:val="Bezmezer"/>
        <w:tabs>
          <w:tab w:val="left" w:pos="426"/>
        </w:tabs>
        <w:suppressAutoHyphens/>
        <w:jc w:val="both"/>
        <w:rPr>
          <w:sz w:val="22"/>
          <w:szCs w:val="22"/>
        </w:rPr>
      </w:pPr>
    </w:p>
    <w:p w:rsidR="00285F97" w:rsidRDefault="00285F97" w:rsidP="00285F97">
      <w:pPr>
        <w:pStyle w:val="Bezmezer"/>
        <w:tabs>
          <w:tab w:val="left" w:pos="426"/>
        </w:tabs>
        <w:suppressAutoHyphens/>
        <w:jc w:val="both"/>
        <w:rPr>
          <w:sz w:val="22"/>
          <w:szCs w:val="22"/>
          <w:u w:val="single"/>
        </w:rPr>
      </w:pPr>
      <w:r>
        <w:rPr>
          <w:sz w:val="22"/>
          <w:szCs w:val="22"/>
        </w:rPr>
        <w:t xml:space="preserve">C) </w:t>
      </w:r>
      <w:r w:rsidRPr="00285F97">
        <w:rPr>
          <w:sz w:val="22"/>
          <w:szCs w:val="22"/>
          <w:u w:val="single"/>
        </w:rPr>
        <w:t>Technická kvalifikace</w:t>
      </w:r>
    </w:p>
    <w:p w:rsidR="00285F97" w:rsidRDefault="00285F97" w:rsidP="00285F97">
      <w:pPr>
        <w:pStyle w:val="Bezmezer"/>
        <w:tabs>
          <w:tab w:val="left" w:pos="426"/>
        </w:tabs>
        <w:suppressAutoHyphens/>
        <w:jc w:val="both"/>
        <w:rPr>
          <w:sz w:val="22"/>
          <w:szCs w:val="22"/>
        </w:rPr>
      </w:pPr>
      <w:r>
        <w:rPr>
          <w:sz w:val="22"/>
          <w:szCs w:val="22"/>
        </w:rPr>
        <w:tab/>
      </w:r>
    </w:p>
    <w:p w:rsidR="00947F4D" w:rsidRPr="00947F4D" w:rsidRDefault="00285F97" w:rsidP="00947F4D">
      <w:pPr>
        <w:pStyle w:val="Bezmezer"/>
        <w:tabs>
          <w:tab w:val="left" w:pos="426"/>
        </w:tabs>
        <w:suppressAutoHyphens/>
        <w:ind w:left="426"/>
        <w:jc w:val="both"/>
        <w:rPr>
          <w:sz w:val="22"/>
          <w:szCs w:val="22"/>
        </w:rPr>
      </w:pPr>
      <w:r w:rsidRPr="00285F97">
        <w:rPr>
          <w:sz w:val="22"/>
          <w:szCs w:val="22"/>
        </w:rPr>
        <w:t xml:space="preserve">Dodavatel prokáže splnění technické kvalifikace </w:t>
      </w:r>
      <w:r>
        <w:rPr>
          <w:sz w:val="22"/>
          <w:szCs w:val="22"/>
        </w:rPr>
        <w:t xml:space="preserve">předložením </w:t>
      </w:r>
      <w:r w:rsidRPr="00947F4D">
        <w:rPr>
          <w:sz w:val="22"/>
          <w:szCs w:val="22"/>
        </w:rPr>
        <w:t>seznamu 3 významných zakázek</w:t>
      </w:r>
      <w:r>
        <w:rPr>
          <w:sz w:val="22"/>
          <w:szCs w:val="22"/>
        </w:rPr>
        <w:t xml:space="preserve"> za poslední 3 roky s uvedením objednatele,</w:t>
      </w:r>
      <w:r w:rsidR="002B4AE1">
        <w:rPr>
          <w:sz w:val="22"/>
          <w:szCs w:val="22"/>
        </w:rPr>
        <w:t xml:space="preserve"> kontaktu,</w:t>
      </w:r>
      <w:r>
        <w:rPr>
          <w:sz w:val="22"/>
          <w:szCs w:val="22"/>
        </w:rPr>
        <w:t xml:space="preserve"> termínu plnění a výše realizované zakázky v Kč, přičemž významnou zakázkou se rozumí </w:t>
      </w:r>
      <w:r w:rsidR="00A114A5">
        <w:rPr>
          <w:sz w:val="22"/>
          <w:szCs w:val="22"/>
        </w:rPr>
        <w:t xml:space="preserve">poskytování služeb </w:t>
      </w:r>
      <w:r w:rsidR="00947F4D" w:rsidRPr="00947F4D">
        <w:rPr>
          <w:sz w:val="22"/>
          <w:szCs w:val="22"/>
        </w:rPr>
        <w:t>v oblasti BOZP pro zaměstnavatele s minimálním počtem zaměstnanců 100 a poskytování služeb v oblasti požární ochrany pro nevýrobní prostory o finančním objemu min. 150.000,- Kč vč. DPH pro každou z těchto dodávek.</w:t>
      </w:r>
    </w:p>
    <w:p w:rsidR="00285F97" w:rsidRPr="00285F97" w:rsidRDefault="00285F97" w:rsidP="00361D12">
      <w:pPr>
        <w:pStyle w:val="Bezmezer"/>
        <w:tabs>
          <w:tab w:val="left" w:pos="426"/>
        </w:tabs>
        <w:suppressAutoHyphens/>
        <w:ind w:left="426"/>
        <w:jc w:val="both"/>
        <w:rPr>
          <w:sz w:val="22"/>
          <w:szCs w:val="22"/>
        </w:rPr>
      </w:pPr>
      <w:r>
        <w:rPr>
          <w:sz w:val="22"/>
          <w:szCs w:val="22"/>
        </w:rPr>
        <w:t xml:space="preserve"> </w:t>
      </w:r>
    </w:p>
    <w:p w:rsidR="002C7A33" w:rsidRDefault="002C7A33" w:rsidP="002C7A33">
      <w:pPr>
        <w:pStyle w:val="Odstavecseseznamem"/>
        <w:shd w:val="clear" w:color="auto" w:fill="FFFFFF"/>
        <w:ind w:left="0"/>
        <w:jc w:val="both"/>
        <w:rPr>
          <w:bCs/>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sidR="00090B31">
        <w:rPr>
          <w:sz w:val="22"/>
          <w:szCs w:val="22"/>
        </w:rPr>
        <w:t>a</w:t>
      </w:r>
      <w:r w:rsidR="00093A6B">
        <w:rPr>
          <w:sz w:val="22"/>
          <w:szCs w:val="22"/>
        </w:rPr>
        <w:t xml:space="preserve">kém údaje ve výpisu ze seznamu </w:t>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lastRenderedPageBreak/>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5" w:name="_Toc397361545"/>
      <w:bookmarkStart w:id="16"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5"/>
      <w:bookmarkEnd w:id="16"/>
      <w:r>
        <w:rPr>
          <w:b/>
          <w:bCs/>
          <w:sz w:val="22"/>
          <w:szCs w:val="22"/>
        </w:rPr>
        <w:t xml:space="preserve"> </w:t>
      </w:r>
      <w:bookmarkStart w:id="17" w:name="_Toc335124637"/>
      <w:bookmarkStart w:id="18" w:name="_Toc335131761"/>
      <w:bookmarkStart w:id="19" w:name="_Toc335375518"/>
      <w:bookmarkStart w:id="20" w:name="_Toc335379270"/>
    </w:p>
    <w:p w:rsidR="00C6234C" w:rsidRPr="00C6234C" w:rsidRDefault="00C6234C" w:rsidP="00C6234C">
      <w:pPr>
        <w:widowControl w:val="0"/>
        <w:autoSpaceDE w:val="0"/>
        <w:autoSpaceDN w:val="0"/>
        <w:adjustRightInd w:val="0"/>
        <w:jc w:val="both"/>
        <w:rPr>
          <w:sz w:val="22"/>
          <w:szCs w:val="20"/>
        </w:rPr>
      </w:pPr>
      <w:bookmarkStart w:id="21" w:name="_Toc470168931"/>
      <w:bookmarkStart w:id="22" w:name="_Toc397361548"/>
      <w:bookmarkEnd w:id="17"/>
      <w:bookmarkEnd w:id="18"/>
      <w:bookmarkEnd w:id="19"/>
      <w:bookmarkEnd w:id="20"/>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DC5DED">
        <w:rPr>
          <w:sz w:val="22"/>
          <w:szCs w:val="20"/>
        </w:rPr>
        <w:t xml:space="preserve"> dle </w:t>
      </w:r>
      <w:r w:rsidR="00DC5DED">
        <w:rPr>
          <w:sz w:val="22"/>
          <w:szCs w:val="20"/>
        </w:rPr>
        <w:tab/>
        <w:t>přílohy Cenová nabídka.</w:t>
      </w:r>
    </w:p>
    <w:p w:rsidR="008F711E" w:rsidRDefault="008F711E"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8F711E" w:rsidRPr="008F711E" w:rsidRDefault="008F711E" w:rsidP="008F711E">
      <w:pPr>
        <w:widowControl w:val="0"/>
        <w:autoSpaceDE w:val="0"/>
        <w:autoSpaceDN w:val="0"/>
        <w:adjustRightInd w:val="0"/>
        <w:jc w:val="both"/>
        <w:rPr>
          <w:sz w:val="22"/>
          <w:szCs w:val="20"/>
        </w:rPr>
      </w:pPr>
      <w:r w:rsidRPr="008F711E">
        <w:rPr>
          <w:sz w:val="22"/>
          <w:szCs w:val="20"/>
        </w:rPr>
        <w:t>V případě, že účastník zjistí nesrovnalosti v zadávacích podmínkách, je oprávněn v souladu s ustanovením § 98 ZZVZ, požádat písemně o vysvětlení zadávací dokumentace.</w:t>
      </w:r>
    </w:p>
    <w:p w:rsidR="008F711E" w:rsidRPr="008F711E" w:rsidRDefault="008F711E" w:rsidP="008F711E">
      <w:pPr>
        <w:pStyle w:val="Odstavecseseznamem"/>
        <w:widowControl w:val="0"/>
        <w:autoSpaceDE w:val="0"/>
        <w:autoSpaceDN w:val="0"/>
        <w:adjustRightInd w:val="0"/>
        <w:jc w:val="both"/>
        <w:rPr>
          <w:sz w:val="22"/>
          <w:szCs w:val="20"/>
        </w:rPr>
      </w:pPr>
    </w:p>
    <w:p w:rsidR="008F711E" w:rsidRPr="008F711E" w:rsidRDefault="00701432"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1"/>
      <w:bookmarkEnd w:id="22"/>
    </w:p>
    <w:p w:rsidR="00216D78" w:rsidRDefault="000949EC" w:rsidP="00216D78">
      <w:pPr>
        <w:spacing w:after="60"/>
        <w:jc w:val="both"/>
        <w:rPr>
          <w:iCs/>
          <w:sz w:val="22"/>
          <w:szCs w:val="22"/>
        </w:rPr>
      </w:pPr>
      <w:bookmarkStart w:id="23" w:name="_Toc470168932"/>
      <w:bookmarkStart w:id="24" w:name="_Toc397360066"/>
      <w:bookmarkStart w:id="25" w:name="_Toc397361554"/>
      <w:r>
        <w:rPr>
          <w:iCs/>
          <w:sz w:val="22"/>
          <w:szCs w:val="22"/>
        </w:rPr>
        <w:t xml:space="preserve">Nabídky musí být </w:t>
      </w:r>
      <w:r w:rsidR="00216D78" w:rsidRPr="00216D78">
        <w:rPr>
          <w:iCs/>
          <w:sz w:val="22"/>
          <w:szCs w:val="22"/>
        </w:rPr>
        <w:t xml:space="preserve">doručeny zadavateli </w:t>
      </w:r>
      <w:r w:rsidR="00611F1A">
        <w:rPr>
          <w:iCs/>
          <w:sz w:val="22"/>
          <w:szCs w:val="22"/>
        </w:rPr>
        <w:t>do</w:t>
      </w:r>
      <w:r w:rsidR="00611F1A" w:rsidRPr="00216D78">
        <w:rPr>
          <w:iCs/>
          <w:sz w:val="22"/>
          <w:szCs w:val="22"/>
        </w:rPr>
        <w:t xml:space="preserve"> </w:t>
      </w:r>
      <w:proofErr w:type="gramStart"/>
      <w:r w:rsidR="00611F1A">
        <w:rPr>
          <w:b/>
          <w:iCs/>
          <w:sz w:val="22"/>
          <w:szCs w:val="22"/>
        </w:rPr>
        <w:t>28.12.2020</w:t>
      </w:r>
      <w:proofErr w:type="gramEnd"/>
      <w:r w:rsidR="00611F1A" w:rsidRPr="000949EC">
        <w:rPr>
          <w:b/>
          <w:iCs/>
          <w:sz w:val="22"/>
          <w:szCs w:val="22"/>
        </w:rPr>
        <w:t xml:space="preserve"> do </w:t>
      </w:r>
      <w:r w:rsidR="00611F1A">
        <w:rPr>
          <w:b/>
          <w:iCs/>
          <w:sz w:val="22"/>
          <w:szCs w:val="22"/>
        </w:rPr>
        <w:t>08</w:t>
      </w:r>
      <w:r w:rsidR="00611F1A" w:rsidRPr="000949EC">
        <w:rPr>
          <w:b/>
          <w:iCs/>
          <w:sz w:val="22"/>
          <w:szCs w:val="22"/>
        </w:rPr>
        <w:t>:00 hod</w:t>
      </w:r>
      <w:r w:rsidR="00611F1A">
        <w:rPr>
          <w:iCs/>
          <w:sz w:val="22"/>
          <w:szCs w:val="22"/>
        </w:rPr>
        <w:t xml:space="preserve"> </w:t>
      </w:r>
      <w:r w:rsidR="005D27A5">
        <w:rPr>
          <w:iCs/>
          <w:sz w:val="22"/>
          <w:szCs w:val="22"/>
        </w:rPr>
        <w:t>v listinné</w:t>
      </w:r>
      <w:r w:rsidR="005D27A5" w:rsidRPr="00216D78">
        <w:rPr>
          <w:iCs/>
          <w:sz w:val="22"/>
          <w:szCs w:val="22"/>
        </w:rPr>
        <w:t xml:space="preserve"> formě</w:t>
      </w:r>
      <w:r w:rsidR="005D27A5">
        <w:rPr>
          <w:iCs/>
          <w:sz w:val="22"/>
          <w:szCs w:val="22"/>
        </w:rPr>
        <w:t xml:space="preserve"> </w:t>
      </w:r>
      <w:r w:rsidR="005D27A5" w:rsidRPr="00216D78">
        <w:rPr>
          <w:iCs/>
          <w:sz w:val="22"/>
          <w:szCs w:val="22"/>
        </w:rPr>
        <w:t xml:space="preserve">prostřednictvím </w:t>
      </w:r>
      <w:r w:rsidR="005D27A5">
        <w:rPr>
          <w:iCs/>
          <w:sz w:val="22"/>
          <w:szCs w:val="22"/>
        </w:rPr>
        <w:t xml:space="preserve">poskytovatele listovních služeb nebo osobně </w:t>
      </w:r>
      <w:r w:rsidR="00216D78" w:rsidRPr="00216D78">
        <w:rPr>
          <w:iCs/>
          <w:sz w:val="22"/>
          <w:szCs w:val="22"/>
        </w:rPr>
        <w:t>do</w:t>
      </w:r>
      <w:r w:rsidR="005D27A5">
        <w:rPr>
          <w:iCs/>
          <w:sz w:val="22"/>
          <w:szCs w:val="22"/>
        </w:rPr>
        <w:t xml:space="preserve"> sídla zadavatele </w:t>
      </w:r>
      <w:r w:rsidR="00611F1A">
        <w:rPr>
          <w:iCs/>
          <w:sz w:val="22"/>
          <w:szCs w:val="22"/>
        </w:rPr>
        <w:t>v pracovní dny od 8:00 hod – do 15:00 hod.</w:t>
      </w:r>
      <w:r w:rsidR="00ED5D1B" w:rsidRPr="000949EC">
        <w:rPr>
          <w:b/>
          <w:iCs/>
          <w:sz w:val="22"/>
          <w:szCs w:val="22"/>
        </w:rPr>
        <w:t>.</w:t>
      </w:r>
      <w:r w:rsidR="00216D78" w:rsidRPr="00216D78">
        <w:rPr>
          <w:iCs/>
          <w:sz w:val="22"/>
          <w:szCs w:val="22"/>
        </w:rPr>
        <w:t xml:space="preserve"> </w:t>
      </w:r>
    </w:p>
    <w:p w:rsidR="005D27A5" w:rsidRDefault="005D27A5" w:rsidP="00216D78">
      <w:pPr>
        <w:spacing w:after="60"/>
        <w:jc w:val="both"/>
        <w:rPr>
          <w:iCs/>
          <w:sz w:val="22"/>
          <w:szCs w:val="22"/>
        </w:rPr>
      </w:pPr>
    </w:p>
    <w:p w:rsidR="005D27A5" w:rsidRDefault="005D27A5" w:rsidP="00216D78">
      <w:pPr>
        <w:spacing w:after="60"/>
        <w:jc w:val="both"/>
        <w:rPr>
          <w:iCs/>
          <w:sz w:val="22"/>
          <w:szCs w:val="22"/>
        </w:rPr>
      </w:pPr>
      <w:r>
        <w:rPr>
          <w:iCs/>
          <w:sz w:val="22"/>
          <w:szCs w:val="22"/>
        </w:rPr>
        <w:t>Obálka musí být označena názvem veřejné zakázky, opatřena identifikačnímu údaji účastníka a nápisem „nabídka – neotevírat“.</w:t>
      </w:r>
    </w:p>
    <w:p w:rsidR="00611F1A" w:rsidRPr="00216D78" w:rsidRDefault="00611F1A" w:rsidP="00216D78">
      <w:pPr>
        <w:spacing w:after="60"/>
        <w:jc w:val="both"/>
        <w:rPr>
          <w:iCs/>
          <w:sz w:val="22"/>
          <w:szCs w:val="22"/>
        </w:rPr>
      </w:pPr>
    </w:p>
    <w:p w:rsidR="00611F1A" w:rsidRDefault="005D27A5" w:rsidP="00701432">
      <w:pPr>
        <w:spacing w:after="60"/>
        <w:jc w:val="both"/>
        <w:rPr>
          <w:iCs/>
          <w:sz w:val="22"/>
          <w:szCs w:val="22"/>
        </w:rPr>
      </w:pPr>
      <w:r>
        <w:rPr>
          <w:iCs/>
          <w:sz w:val="22"/>
          <w:szCs w:val="22"/>
        </w:rPr>
        <w:t xml:space="preserve">Otvírání obálek s nabídkami se uskuteční </w:t>
      </w:r>
      <w:proofErr w:type="gramStart"/>
      <w:r w:rsidRPr="005D27A5">
        <w:rPr>
          <w:b/>
          <w:iCs/>
          <w:sz w:val="22"/>
          <w:szCs w:val="22"/>
        </w:rPr>
        <w:t>28.12.2020</w:t>
      </w:r>
      <w:proofErr w:type="gramEnd"/>
      <w:r w:rsidRPr="005D27A5">
        <w:rPr>
          <w:b/>
          <w:iCs/>
          <w:sz w:val="22"/>
          <w:szCs w:val="22"/>
        </w:rPr>
        <w:t xml:space="preserve"> v 08:10 hod</w:t>
      </w:r>
      <w:r w:rsidR="00611F1A">
        <w:rPr>
          <w:b/>
          <w:iCs/>
          <w:sz w:val="22"/>
          <w:szCs w:val="22"/>
        </w:rPr>
        <w:t xml:space="preserve"> </w:t>
      </w:r>
      <w:r w:rsidR="00611F1A" w:rsidRPr="00611F1A">
        <w:rPr>
          <w:iCs/>
          <w:sz w:val="22"/>
          <w:szCs w:val="22"/>
        </w:rPr>
        <w:t>v sídle zadavatele, zasedací místnost 305Z</w:t>
      </w:r>
      <w:r w:rsidRPr="00611F1A">
        <w:rPr>
          <w:iCs/>
          <w:sz w:val="22"/>
          <w:szCs w:val="22"/>
        </w:rPr>
        <w:t>.</w:t>
      </w:r>
      <w:r>
        <w:rPr>
          <w:iCs/>
          <w:sz w:val="22"/>
          <w:szCs w:val="22"/>
        </w:rPr>
        <w:t xml:space="preserve"> </w:t>
      </w:r>
      <w:bookmarkStart w:id="26" w:name="_Toc470168933"/>
      <w:bookmarkStart w:id="27" w:name="_Toc397361556"/>
      <w:bookmarkEnd w:id="23"/>
      <w:bookmarkEnd w:id="24"/>
      <w:bookmarkEnd w:id="25"/>
    </w:p>
    <w:p w:rsidR="00216D78" w:rsidRDefault="005D27A5" w:rsidP="00701432">
      <w:pPr>
        <w:spacing w:after="60"/>
        <w:jc w:val="both"/>
        <w:rPr>
          <w:iCs/>
          <w:sz w:val="22"/>
          <w:szCs w:val="22"/>
        </w:rPr>
      </w:pPr>
      <w:r>
        <w:rPr>
          <w:iCs/>
          <w:sz w:val="22"/>
          <w:szCs w:val="22"/>
        </w:rPr>
        <w:t xml:space="preserve">Otevírání obálek s nabídkami se mohou </w:t>
      </w:r>
      <w:proofErr w:type="spellStart"/>
      <w:r>
        <w:rPr>
          <w:iCs/>
          <w:sz w:val="22"/>
          <w:szCs w:val="22"/>
        </w:rPr>
        <w:t>zúčastnít</w:t>
      </w:r>
      <w:proofErr w:type="spellEnd"/>
      <w:r>
        <w:rPr>
          <w:iCs/>
          <w:sz w:val="22"/>
          <w:szCs w:val="22"/>
        </w:rPr>
        <w:t xml:space="preserve"> zástupci účastníků v počtu max. 1 zástupce za účastníka. Každý účastník se prokáže dokladem totožnosti a oprávněním zastupovat účastníka v zadávacím řízení.</w:t>
      </w:r>
    </w:p>
    <w:p w:rsidR="005D27A5" w:rsidRPr="00701432" w:rsidRDefault="005D27A5" w:rsidP="00701432">
      <w:pPr>
        <w:spacing w:after="60"/>
        <w:jc w:val="both"/>
        <w:rPr>
          <w:iCs/>
          <w:sz w:val="22"/>
          <w:szCs w:val="22"/>
        </w:rPr>
      </w:pPr>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26"/>
      <w:r w:rsidRPr="00216D78">
        <w:rPr>
          <w:b/>
          <w:bCs/>
          <w:sz w:val="22"/>
          <w:szCs w:val="22"/>
        </w:rPr>
        <w:t xml:space="preserve"> </w:t>
      </w:r>
      <w:bookmarkEnd w:id="27"/>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w:t>
      </w:r>
      <w:r w:rsidR="00611F1A">
        <w:rPr>
          <w:sz w:val="22"/>
          <w:szCs w:val="22"/>
        </w:rPr>
        <w:t> listinné podobě.</w:t>
      </w: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sidR="00701432">
        <w:rPr>
          <w:sz w:val="22"/>
          <w:szCs w:val="22"/>
        </w:rPr>
        <w:t xml:space="preserve"> 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lastRenderedPageBreak/>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Pr="00BE3BDD" w:rsidRDefault="00C32221" w:rsidP="00BE3BDD">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28"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28"/>
    </w:p>
    <w:p w:rsidR="005E5EB5" w:rsidRPr="00093A6B" w:rsidRDefault="005E5EB5" w:rsidP="00093A6B">
      <w:pPr>
        <w:rPr>
          <w:sz w:val="22"/>
          <w:szCs w:val="20"/>
        </w:rPr>
      </w:pPr>
      <w:r w:rsidRPr="00093A6B">
        <w:rPr>
          <w:sz w:val="22"/>
          <w:szCs w:val="20"/>
        </w:rPr>
        <w:t>Zadavatel nepřipouští variantní řešení.</w:t>
      </w:r>
    </w:p>
    <w:p w:rsidR="00AE5F93" w:rsidRPr="005E5EB5" w:rsidRDefault="00AE5F93" w:rsidP="005E5EB5">
      <w:pPr>
        <w:spacing w:after="120"/>
        <w:jc w:val="both"/>
        <w:rPr>
          <w:b/>
          <w:color w:val="FF0000"/>
          <w:sz w:val="22"/>
          <w:szCs w:val="22"/>
        </w:rPr>
      </w:pP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29" w:name="_Toc397361533"/>
      <w:bookmarkStart w:id="30" w:name="_Toc470168926"/>
      <w:r>
        <w:rPr>
          <w:b/>
          <w:bCs/>
          <w:sz w:val="22"/>
          <w:szCs w:val="22"/>
        </w:rPr>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1" w:name="_Toc397360046"/>
      <w:bookmarkStart w:id="32" w:name="_Toc397361534"/>
      <w:bookmarkEnd w:id="29"/>
      <w:bookmarkEnd w:id="30"/>
    </w:p>
    <w:bookmarkEnd w:id="31"/>
    <w:bookmarkEnd w:id="32"/>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9"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proofErr w:type="gramStart"/>
      <w:r w:rsidR="00245333">
        <w:rPr>
          <w:sz w:val="22"/>
          <w:szCs w:val="22"/>
          <w:shd w:val="clear" w:color="auto" w:fill="FFFFFF"/>
        </w:rPr>
        <w:t>18.12.2020</w:t>
      </w:r>
      <w:proofErr w:type="gramEnd"/>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245333" w:rsidRDefault="00245333" w:rsidP="00024DA3">
      <w:pPr>
        <w:jc w:val="center"/>
        <w:rPr>
          <w:rStyle w:val="Siln"/>
          <w:b w:val="0"/>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BE3BDD" w:rsidRDefault="00127795" w:rsidP="00F83BF7">
      <w:pPr>
        <w:rPr>
          <w:sz w:val="22"/>
          <w:szCs w:val="22"/>
        </w:rPr>
      </w:pPr>
      <w:r w:rsidRPr="00C41138">
        <w:rPr>
          <w:sz w:val="22"/>
          <w:szCs w:val="22"/>
        </w:rPr>
        <w:t xml:space="preserve">Technická specifikace </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8F711E" w:rsidRDefault="008F711E"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50578D" w:rsidRDefault="004E5CF7" w:rsidP="0050578D">
      <w:pPr>
        <w:rPr>
          <w:rFonts w:asciiTheme="minorHAnsi" w:hAnsiTheme="minorHAnsi"/>
          <w:b/>
          <w:sz w:val="28"/>
          <w:szCs w:val="22"/>
        </w:rPr>
      </w:pPr>
      <w:r w:rsidRPr="00F13582">
        <w:rPr>
          <w:rFonts w:asciiTheme="minorHAnsi" w:hAnsiTheme="minorHAnsi"/>
          <w:b/>
          <w:sz w:val="28"/>
          <w:szCs w:val="22"/>
        </w:rPr>
        <w:t>Technická specifikace</w:t>
      </w:r>
      <w:r w:rsidR="00BE3BDD">
        <w:rPr>
          <w:rFonts w:asciiTheme="minorHAnsi" w:hAnsiTheme="minorHAnsi"/>
          <w:b/>
          <w:sz w:val="28"/>
          <w:szCs w:val="22"/>
        </w:rPr>
        <w:t xml:space="preserve"> </w:t>
      </w:r>
    </w:p>
    <w:p w:rsidR="0050578D" w:rsidRDefault="0050578D" w:rsidP="0050578D">
      <w:pPr>
        <w:rPr>
          <w:rFonts w:asciiTheme="minorHAnsi" w:hAnsiTheme="minorHAnsi"/>
          <w:b/>
          <w:sz w:val="28"/>
          <w:szCs w:val="22"/>
        </w:rPr>
      </w:pPr>
    </w:p>
    <w:p w:rsidR="00947F4D" w:rsidRPr="001C0101" w:rsidRDefault="00947F4D" w:rsidP="00947F4D">
      <w:pPr>
        <w:autoSpaceDE w:val="0"/>
        <w:autoSpaceDN w:val="0"/>
        <w:adjustRightInd w:val="0"/>
        <w:jc w:val="both"/>
        <w:rPr>
          <w:rFonts w:ascii="Calibri" w:hAnsi="Calibri"/>
          <w:sz w:val="22"/>
          <w:szCs w:val="22"/>
        </w:rPr>
      </w:pPr>
      <w:r w:rsidRPr="001C0101">
        <w:rPr>
          <w:rFonts w:ascii="Calibri" w:hAnsi="Calibri"/>
          <w:sz w:val="22"/>
          <w:szCs w:val="22"/>
        </w:rPr>
        <w:t>Předmětem plnění veřejné zakázky je po</w:t>
      </w:r>
      <w:r>
        <w:rPr>
          <w:rFonts w:ascii="Calibri" w:hAnsi="Calibri"/>
          <w:sz w:val="22"/>
          <w:szCs w:val="22"/>
        </w:rPr>
        <w:t>skytování komplexních služeb v oblasti BOZP a</w:t>
      </w:r>
      <w:r w:rsidRPr="001C0101">
        <w:rPr>
          <w:rFonts w:ascii="Calibri" w:hAnsi="Calibri"/>
          <w:sz w:val="22"/>
          <w:szCs w:val="22"/>
        </w:rPr>
        <w:t xml:space="preserve"> PO s dobou trvání </w:t>
      </w:r>
      <w:r w:rsidR="00731D1D">
        <w:rPr>
          <w:rFonts w:ascii="Calibri" w:hAnsi="Calibri"/>
          <w:sz w:val="22"/>
          <w:szCs w:val="22"/>
        </w:rPr>
        <w:t xml:space="preserve">24 </w:t>
      </w:r>
      <w:r w:rsidR="006B74C9">
        <w:rPr>
          <w:rFonts w:ascii="Calibri" w:hAnsi="Calibri"/>
          <w:sz w:val="22"/>
          <w:szCs w:val="22"/>
        </w:rPr>
        <w:t xml:space="preserve">měsíců </w:t>
      </w:r>
      <w:r w:rsidRPr="001C0101">
        <w:rPr>
          <w:rFonts w:ascii="Calibri" w:hAnsi="Calibri"/>
          <w:sz w:val="22"/>
          <w:szCs w:val="22"/>
        </w:rPr>
        <w:t>ode dne uzavření Příkazní smlouvy.</w:t>
      </w:r>
    </w:p>
    <w:p w:rsidR="00947F4D" w:rsidRPr="001C0101" w:rsidRDefault="00947F4D" w:rsidP="00947F4D">
      <w:pPr>
        <w:tabs>
          <w:tab w:val="center" w:pos="6300"/>
        </w:tabs>
        <w:rPr>
          <w:rFonts w:ascii="Calibri" w:hAnsi="Calibri"/>
          <w:sz w:val="22"/>
          <w:szCs w:val="22"/>
        </w:rPr>
      </w:pPr>
      <w:r w:rsidRPr="001C010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359"/>
      </w:tblGrid>
      <w:tr w:rsidR="00947F4D" w:rsidRPr="00D72BD1" w:rsidTr="007D1F01">
        <w:trPr>
          <w:trHeight w:val="300"/>
        </w:trPr>
        <w:tc>
          <w:tcPr>
            <w:tcW w:w="11300" w:type="dxa"/>
            <w:gridSpan w:val="2"/>
            <w:shd w:val="clear" w:color="auto" w:fill="auto"/>
            <w:hideMark/>
          </w:tcPr>
          <w:p w:rsidR="00947F4D" w:rsidRPr="00D72BD1" w:rsidRDefault="00947F4D" w:rsidP="007D1F01">
            <w:pPr>
              <w:tabs>
                <w:tab w:val="center" w:pos="6300"/>
              </w:tabs>
              <w:rPr>
                <w:rFonts w:ascii="Calibri" w:hAnsi="Calibri"/>
                <w:b/>
                <w:bCs/>
                <w:sz w:val="22"/>
                <w:szCs w:val="22"/>
              </w:rPr>
            </w:pPr>
            <w:r>
              <w:rPr>
                <w:rFonts w:ascii="Calibri" w:hAnsi="Calibri"/>
                <w:b/>
                <w:bCs/>
                <w:sz w:val="22"/>
                <w:szCs w:val="22"/>
              </w:rPr>
              <w:t xml:space="preserve">Rozsah činností a požadavků </w:t>
            </w:r>
            <w:r w:rsidRPr="00D72BD1">
              <w:rPr>
                <w:rFonts w:ascii="Calibri" w:hAnsi="Calibri"/>
                <w:b/>
                <w:bCs/>
                <w:sz w:val="22"/>
                <w:szCs w:val="22"/>
              </w:rPr>
              <w:t>- oblast BOZP</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zpracování podkladů pro zatřídění zaměstnanců do kategorizace prací dle aktuálního stavu pracovních pozic zadavatele</w:t>
            </w:r>
          </w:p>
        </w:tc>
      </w:tr>
      <w:tr w:rsidR="00947F4D" w:rsidRPr="00D72BD1" w:rsidTr="007D1F01">
        <w:trPr>
          <w:trHeight w:val="58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vyhledávání, identifikování a hodnocení rizika a navrhování zadavateli opatření k jejich odstraňování nebo omezení jejich působení, stanovení zdrojů a příčin rizik</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odborného poradenství, konzultační a informační činnost v oblasti BOZP</w:t>
            </w:r>
          </w:p>
        </w:tc>
      </w:tr>
      <w:tr w:rsidR="00947F4D" w:rsidRPr="00D72BD1" w:rsidTr="007D1F01">
        <w:trPr>
          <w:trHeight w:val="54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lastRenderedPageBreak/>
              <w:t>4.</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zastupování zadavatele jako odborný poradce při kontrolách státního dozoru, orgánů veřejného zdraví či jiných orgánů kontrolujících BOZP na vyzvání zadavatele</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5.</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spolupráce se zadavatelem na zpracování zpráv a rozborů z hlediska bezpečnosti pro nadřízené orgány</w:t>
            </w:r>
          </w:p>
        </w:tc>
      </w:tr>
      <w:tr w:rsidR="00947F4D" w:rsidRPr="00D72BD1" w:rsidTr="007D1F01">
        <w:trPr>
          <w:trHeight w:val="61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6.</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zpracování dokumentaci BOZP dle platné le</w:t>
            </w:r>
            <w:r>
              <w:rPr>
                <w:rFonts w:ascii="Calibri" w:hAnsi="Calibri"/>
                <w:sz w:val="22"/>
                <w:szCs w:val="22"/>
              </w:rPr>
              <w:t xml:space="preserve">gislativy, dle vzniklé potřeby </w:t>
            </w:r>
            <w:r w:rsidRPr="00D72BD1">
              <w:rPr>
                <w:rFonts w:ascii="Calibri" w:hAnsi="Calibri"/>
                <w:sz w:val="22"/>
                <w:szCs w:val="22"/>
              </w:rPr>
              <w:t>připravení návrhů nové dokumentace a aktualizování stávající dokumentaci BOZP dle platné legislativy</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7.</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kontrolování odstranění závad uvedených v kontrolních záznamech</w:t>
            </w:r>
          </w:p>
        </w:tc>
      </w:tr>
      <w:tr w:rsidR="00947F4D" w:rsidRPr="00D72BD1" w:rsidTr="007D1F01">
        <w:trPr>
          <w:trHeight w:val="63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8.</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kontrolování jednotlivých pracovišť, pracovního prostředí, pracovních podmínek, strojů a technického zařízení z hlediska BOZP vč. vyhotovování příslušné dokumentace (protokolů)</w:t>
            </w:r>
          </w:p>
        </w:tc>
      </w:tr>
      <w:tr w:rsidR="00947F4D" w:rsidRPr="00D72BD1" w:rsidTr="007D1F01">
        <w:trPr>
          <w:trHeight w:val="57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9.</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vyjadřování se k organizačním směrnicím a organizačním a výchovným opatřením, k rizikovým pracovištím a pracovištím s výskytem úrazů a nemocí z povolání</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10.</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připravování podkladů ke školení BOZP, osnovy školení a v případě ověření znalosti písemnou formou i zkušební otázky</w:t>
            </w:r>
          </w:p>
        </w:tc>
      </w:tr>
      <w:tr w:rsidR="00947F4D" w:rsidRPr="00D72BD1" w:rsidTr="00731D1D">
        <w:trPr>
          <w:trHeight w:val="369"/>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11.</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vstupní školení nově přijatých zaměstnanců</w:t>
            </w:r>
          </w:p>
        </w:tc>
      </w:tr>
      <w:tr w:rsidR="00947F4D" w:rsidRPr="00D72BD1" w:rsidTr="00731D1D">
        <w:trPr>
          <w:trHeight w:val="321"/>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12.</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školení zaměstnanců a vedoucích zaměstnanců v oblasti BOZP dle stanovených periodik</w:t>
            </w:r>
          </w:p>
        </w:tc>
      </w:tr>
      <w:tr w:rsidR="00947F4D" w:rsidRPr="00D72BD1" w:rsidTr="007D1F01">
        <w:trPr>
          <w:trHeight w:val="153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13.</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zajišťování vedení evidence pracovních úrazů a nemocí z povolání dle jejich příčin: příslušný vedoucí zaměstnanec zadavatele zapíše pracovní úraz v aplikaci </w:t>
            </w:r>
            <w:proofErr w:type="spellStart"/>
            <w:r w:rsidRPr="00D72BD1">
              <w:rPr>
                <w:rFonts w:ascii="Calibri" w:hAnsi="Calibri"/>
                <w:sz w:val="22"/>
                <w:szCs w:val="22"/>
              </w:rPr>
              <w:t>el.knihy</w:t>
            </w:r>
            <w:proofErr w:type="spellEnd"/>
            <w:r w:rsidRPr="00D72BD1">
              <w:rPr>
                <w:rFonts w:ascii="Calibri" w:hAnsi="Calibri"/>
                <w:sz w:val="22"/>
                <w:szCs w:val="22"/>
              </w:rPr>
              <w:t xml:space="preserve"> úrazů,  poskytovatel služeb provede šetření úrazového děje a v případě naplnění zákonných povinností vypracuje záznam o pracovním úrazu, odešle jej v el. </w:t>
            </w:r>
            <w:proofErr w:type="gramStart"/>
            <w:r w:rsidRPr="00D72BD1">
              <w:rPr>
                <w:rFonts w:ascii="Calibri" w:hAnsi="Calibri"/>
                <w:sz w:val="22"/>
                <w:szCs w:val="22"/>
              </w:rPr>
              <w:t>podobě</w:t>
            </w:r>
            <w:proofErr w:type="gramEnd"/>
            <w:r w:rsidRPr="00D72BD1">
              <w:rPr>
                <w:rFonts w:ascii="Calibri" w:hAnsi="Calibri"/>
                <w:sz w:val="22"/>
                <w:szCs w:val="22"/>
              </w:rPr>
              <w:t xml:space="preserve"> příkazci, který provede kontrolu správnosti zadaných údajů a potvrdí svým podpisem vyhotovení odešle zpět příkazníkovi, který odešle záznam o úrazu příslušným  institucím a  zástupci zadavatele </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14.</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tvorba plánů činností v oblasti BOZP</w:t>
            </w:r>
          </w:p>
        </w:tc>
      </w:tr>
      <w:tr w:rsidR="00947F4D" w:rsidRPr="00D72BD1" w:rsidTr="00731D1D">
        <w:trPr>
          <w:trHeight w:val="342"/>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15.</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účast na vyšetřování smrtelných úrazů jako součást jmenované komise</w:t>
            </w:r>
          </w:p>
        </w:tc>
      </w:tr>
      <w:tr w:rsidR="00947F4D" w:rsidRPr="00D72BD1" w:rsidTr="00731D1D">
        <w:trPr>
          <w:trHeight w:val="29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16.</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předkládání vedení společnosti materiály k projednání smrtelných úrazů</w:t>
            </w:r>
          </w:p>
        </w:tc>
      </w:tr>
      <w:tr w:rsidR="00947F4D" w:rsidRPr="00D72BD1" w:rsidTr="007D1F01">
        <w:trPr>
          <w:trHeight w:val="64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17.</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 základě spolupráce s vedoucími zaměstnanci a vyhodnocení rizikových faktorů zpracování seznamu profesí, kterým je potřeba přidělovat OOPP a typ OOPP, které budou poskytnuty; tento seznam pravidelně aktualizovat dle potřeby</w:t>
            </w:r>
          </w:p>
        </w:tc>
      </w:tr>
      <w:tr w:rsidR="00947F4D" w:rsidRPr="00D72BD1" w:rsidTr="00731D1D">
        <w:trPr>
          <w:trHeight w:val="428"/>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18.</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přidělovaných OOPP zaměstnancům</w:t>
            </w:r>
          </w:p>
        </w:tc>
      </w:tr>
    </w:tbl>
    <w:p w:rsidR="00947F4D" w:rsidRPr="00731D1D" w:rsidRDefault="00947F4D" w:rsidP="00947F4D">
      <w:pPr>
        <w:tabs>
          <w:tab w:val="center" w:pos="6300"/>
        </w:tabs>
        <w:contextualSpacing/>
        <w:rPr>
          <w:rFonts w:ascii="Cambria" w:hAnsi="Cambria"/>
          <w:sz w:val="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394"/>
      </w:tblGrid>
      <w:tr w:rsidR="00947F4D" w:rsidRPr="00D72BD1" w:rsidTr="00731D1D">
        <w:trPr>
          <w:trHeight w:val="60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19.</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ve spolupráci se zadavatelem namátkové sledování provádění pravidelných lékařských prohlídek</w:t>
            </w:r>
          </w:p>
        </w:tc>
      </w:tr>
      <w:tr w:rsidR="00947F4D" w:rsidRPr="00D72BD1" w:rsidTr="00731D1D">
        <w:trPr>
          <w:trHeight w:val="584"/>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20.</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provedení ročních prověrek bezpečnosti a ochrany zdraví při práci; 1x ročně na všech pracovištích zadavatele</w:t>
            </w:r>
          </w:p>
        </w:tc>
      </w:tr>
      <w:tr w:rsidR="00947F4D" w:rsidRPr="00D72BD1" w:rsidTr="00731D1D">
        <w:trPr>
          <w:trHeight w:val="54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21.</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preventivní kontroly stavu předmětu dodávky BOZP v dohodnutých termínech a s příslušnými vedoucími zaměstnanci jednotlivých oddělení s výsledným kontrolním záznamem o provedené kontrole s návrhy na opatření;</w:t>
            </w:r>
          </w:p>
        </w:tc>
      </w:tr>
      <w:tr w:rsidR="00947F4D" w:rsidRPr="00D72BD1" w:rsidTr="00731D1D">
        <w:trPr>
          <w:trHeight w:val="42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22.</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odborně dohlížet na dodržování organizačních směrnic a bezpečných postupů práce na pracovištích</w:t>
            </w:r>
          </w:p>
        </w:tc>
      </w:tr>
      <w:tr w:rsidR="00947F4D" w:rsidRPr="00D72BD1" w:rsidTr="00731D1D">
        <w:trPr>
          <w:trHeight w:val="55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23.</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 výsledcích kontrol zpracovávat kontrolní záznamy;  v případě zjištěných nedostatků navrhovat opatření k nápravě; tyto záznamy předávat příkazci</w:t>
            </w:r>
          </w:p>
        </w:tc>
      </w:tr>
      <w:tr w:rsidR="00947F4D" w:rsidRPr="00D72BD1" w:rsidTr="00731D1D">
        <w:trPr>
          <w:trHeight w:val="64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24.</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výkon osoby odborně způsobilé k prevenci rizik podle § 9 Zákona č. 309/2006 Sb., zákon o zajištění dalších podmínek bezpečnosti a ochrany zdraví při práci </w:t>
            </w:r>
          </w:p>
        </w:tc>
      </w:tr>
      <w:tr w:rsidR="00947F4D" w:rsidRPr="00D72BD1" w:rsidTr="00731D1D">
        <w:trPr>
          <w:trHeight w:val="64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Pr>
                <w:rFonts w:ascii="Calibri" w:hAnsi="Calibri"/>
                <w:sz w:val="22"/>
                <w:szCs w:val="22"/>
              </w:rPr>
              <w:t>25.</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9F5E33">
              <w:rPr>
                <w:rFonts w:ascii="Calibri" w:hAnsi="Calibri"/>
                <w:sz w:val="22"/>
                <w:szCs w:val="22"/>
              </w:rPr>
              <w:t>odborná školení zaměstnanců v oblasti obsluhy křovinořezů, sněhových fréz a travních sekaček na základě požadavků zadavatele</w:t>
            </w:r>
          </w:p>
        </w:tc>
      </w:tr>
      <w:tr w:rsidR="00947F4D" w:rsidRPr="00D72BD1" w:rsidTr="00731D1D">
        <w:trPr>
          <w:trHeight w:val="40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Pr>
                <w:rFonts w:ascii="Calibri" w:hAnsi="Calibri"/>
                <w:sz w:val="22"/>
                <w:szCs w:val="22"/>
              </w:rPr>
              <w:t>26</w:t>
            </w:r>
            <w:r w:rsidRPr="00D72BD1">
              <w:rPr>
                <w:rFonts w:ascii="Calibri" w:hAnsi="Calibri"/>
                <w:sz w:val="22"/>
                <w:szCs w:val="22"/>
              </w:rPr>
              <w:t>.</w:t>
            </w:r>
          </w:p>
        </w:tc>
        <w:tc>
          <w:tcPr>
            <w:tcW w:w="9394"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vedení elektronické dokumentace pracovních úrazů</w:t>
            </w:r>
          </w:p>
        </w:tc>
      </w:tr>
    </w:tbl>
    <w:p w:rsidR="00947F4D" w:rsidRDefault="00947F4D" w:rsidP="00947F4D">
      <w:pPr>
        <w:tabs>
          <w:tab w:val="center" w:pos="6300"/>
        </w:tabs>
        <w:jc w:val="both"/>
        <w:rPr>
          <w:rFonts w:ascii="Calibri" w:hAnsi="Calibri"/>
          <w:sz w:val="22"/>
          <w:szCs w:val="22"/>
        </w:rPr>
      </w:pPr>
      <w:r w:rsidRPr="00AF43D3">
        <w:rPr>
          <w:rFonts w:ascii="Calibri" w:hAnsi="Calibri"/>
          <w:sz w:val="22"/>
          <w:szCs w:val="22"/>
        </w:rPr>
        <w:t xml:space="preserve">Výše uvedený soupis činností je orientační, tedy bude se jednat zejména, nikoli však o pouze zde uvedené činnosti. Požadavkem zadavatele je plnění povinností zejména v rozsahu zákona č. 262/2006 Sb. Zákoníku práce, nařízení vlády č. 201/2010 Sb. o způsobu evidence úrazů, hlášení a zasílání záznamu o úrazu, </w:t>
      </w:r>
      <w:r w:rsidRPr="00AF43D3">
        <w:rPr>
          <w:rFonts w:ascii="Calibri" w:hAnsi="Calibri"/>
          <w:sz w:val="22"/>
          <w:szCs w:val="22"/>
        </w:rPr>
        <w:lastRenderedPageBreak/>
        <w:t>nařízením vlády č. 101/2005 Sb. o podrobnějších požadavcích na pracoviště a pracovní prostředí, nařízením vlády č. 361/2007 Sb., kterým se stanoví podmínky ochrany zdraví při práci, nařízením vlády č. 378/2001 Sb., kterým se stanoví bližší požadavky na bezpečný provoz a používání strojů, technických zařízení, přístrojů a nářadí, vyhláškou Českého úřadu bezpečnosti práce č. 48/1982 Sb., kterou se stanoví základní požadavky k zajištění bezpečnosti práce a technických zařízení. Zadavatel bude v rámci uzavřené smlouvy požadovat předem stanovenou reakční dobu ze strany dodavatele od momentu vzniku požadavku zadavatele. Tato doba bude oboustranně dohodnuta před uzavřením příslušné smlouvy.</w:t>
      </w:r>
    </w:p>
    <w:p w:rsidR="00947F4D" w:rsidRPr="00AF43D3" w:rsidRDefault="00947F4D" w:rsidP="00947F4D">
      <w:pPr>
        <w:tabs>
          <w:tab w:val="center" w:pos="6300"/>
        </w:tabs>
        <w:jc w:val="both"/>
        <w:rPr>
          <w:rFonts w:ascii="Calibri" w:hAnsi="Calibri"/>
          <w:sz w:val="22"/>
          <w:szCs w:val="22"/>
        </w:rPr>
      </w:pPr>
    </w:p>
    <w:p w:rsidR="00947F4D" w:rsidRDefault="00947F4D" w:rsidP="00947F4D">
      <w:pPr>
        <w:tabs>
          <w:tab w:val="center" w:pos="630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417"/>
      </w:tblGrid>
      <w:tr w:rsidR="00947F4D" w:rsidRPr="00D72BD1" w:rsidTr="007D1F01">
        <w:trPr>
          <w:trHeight w:val="300"/>
        </w:trPr>
        <w:tc>
          <w:tcPr>
            <w:tcW w:w="9145" w:type="dxa"/>
            <w:gridSpan w:val="2"/>
            <w:shd w:val="clear" w:color="auto" w:fill="auto"/>
            <w:noWrap/>
            <w:hideMark/>
          </w:tcPr>
          <w:p w:rsidR="00947F4D" w:rsidRPr="00D72BD1" w:rsidRDefault="00947F4D" w:rsidP="007D1F01">
            <w:pPr>
              <w:tabs>
                <w:tab w:val="center" w:pos="6300"/>
              </w:tabs>
              <w:rPr>
                <w:rFonts w:ascii="Calibri" w:hAnsi="Calibri"/>
                <w:b/>
                <w:bCs/>
                <w:sz w:val="22"/>
                <w:szCs w:val="22"/>
              </w:rPr>
            </w:pPr>
            <w:r w:rsidRPr="00D72BD1">
              <w:rPr>
                <w:rFonts w:ascii="Calibri" w:hAnsi="Calibri"/>
                <w:b/>
                <w:bCs/>
                <w:sz w:val="22"/>
                <w:szCs w:val="22"/>
              </w:rPr>
              <w:t>Rozsah činností a poža</w:t>
            </w:r>
            <w:r>
              <w:rPr>
                <w:rFonts w:ascii="Calibri" w:hAnsi="Calibri"/>
                <w:b/>
                <w:bCs/>
                <w:sz w:val="22"/>
                <w:szCs w:val="22"/>
              </w:rPr>
              <w:t>davků -</w:t>
            </w:r>
            <w:r w:rsidRPr="00D72BD1">
              <w:rPr>
                <w:rFonts w:ascii="Calibri" w:hAnsi="Calibri"/>
                <w:b/>
                <w:bCs/>
                <w:sz w:val="22"/>
                <w:szCs w:val="22"/>
              </w:rPr>
              <w:t xml:space="preserve"> oblast PO</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kvalifikace odborně způsobilé osoby bude v souladu s požadavky § 11, Zákona o požární ochraně doložena osvědčením vydaným Ministerstvem vnitra</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organizační zajišťování školení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školení vedoucích zaměstnanců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4.</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zajištění účasti podřízených zaměstnanců zadavatele na školení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5.</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oznámení zjištěné závady v oblasti požární ochrany provoznímu úseku organizace</w:t>
            </w:r>
          </w:p>
        </w:tc>
      </w:tr>
      <w:tr w:rsidR="00947F4D" w:rsidRPr="00D72BD1" w:rsidTr="007D1F01">
        <w:trPr>
          <w:trHeight w:val="63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6.</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vedení schválené dokumentace požární </w:t>
            </w:r>
            <w:proofErr w:type="gramStart"/>
            <w:r w:rsidRPr="00D72BD1">
              <w:rPr>
                <w:rFonts w:ascii="Calibri" w:hAnsi="Calibri"/>
                <w:sz w:val="22"/>
                <w:szCs w:val="22"/>
              </w:rPr>
              <w:t>ochrany a  její</w:t>
            </w:r>
            <w:proofErr w:type="gramEnd"/>
            <w:r w:rsidRPr="00D72BD1">
              <w:rPr>
                <w:rFonts w:ascii="Calibri" w:hAnsi="Calibri"/>
                <w:sz w:val="22"/>
                <w:szCs w:val="22"/>
              </w:rPr>
              <w:t xml:space="preserve"> údržba ve spolupráci s osobou odborně způsobilou v požární ochraně, v aktuálním stavu</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7.</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pravidelné provádění prostřednictvím osoby odborně způsobilé v požární ochraně kontroly dodržování předpisů o požární ochraně (kontroly se provádějí formou preventivních požárních prohlídek), a to 1x za 6 měsíců</w:t>
            </w:r>
          </w:p>
        </w:tc>
      </w:tr>
      <w:tr w:rsidR="00947F4D" w:rsidRPr="00D72BD1" w:rsidTr="007D1F01">
        <w:trPr>
          <w:trHeight w:val="615"/>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8.</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odstranění závad požární ochrany, zjištěné kontrolami provedenými osobou odborně způsobilou v požární ochraně nebo státním požárním dozorem</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9.</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navrhování zajištění vybavení objektů zadavatele </w:t>
            </w:r>
            <w:proofErr w:type="gramStart"/>
            <w:r w:rsidRPr="00D72BD1">
              <w:rPr>
                <w:rFonts w:ascii="Calibri" w:hAnsi="Calibri"/>
                <w:sz w:val="22"/>
                <w:szCs w:val="22"/>
              </w:rPr>
              <w:t>hasícími</w:t>
            </w:r>
            <w:proofErr w:type="gramEnd"/>
            <w:r w:rsidRPr="00D72BD1">
              <w:rPr>
                <w:rFonts w:ascii="Calibri" w:hAnsi="Calibri"/>
                <w:sz w:val="22"/>
                <w:szCs w:val="22"/>
              </w:rPr>
              <w:t xml:space="preserve"> přístroji, požárně bezpečnostními zařízeními dle Požárně bezpečnostního řešení stavby (požární zprávy), které je součástí projektové dokumentace</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10.</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udržování zařízení dle bodu 6. v provozuschopném stavu; hlídání termínů řádného provádění kontrol a revizí těchto zařízení</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11.</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školení o požární ochraně zaměstnanců cizích osob provádějících dodavatelské práce v objektech a na pracovištích zadavatele</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12.</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v potřebném množství a druzích věcné prostředky požární ochrany a udržování jich v provozuschopném stavu; u věcných prostředků požární ochrany obstarávání a instalování pouze schválenými druhy</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13.</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údržby, kontroly a opravy technických a technologických zařízení způsobem a ve lhůtách stanovených podmínkami požární bezpečnosti nebo výrobcem zařízení</w:t>
            </w:r>
          </w:p>
        </w:tc>
      </w:tr>
      <w:tr w:rsidR="00947F4D" w:rsidRPr="00D72BD1" w:rsidTr="00731D1D">
        <w:trPr>
          <w:trHeight w:val="323"/>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14.</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zpracovávání dokumentace o začlenění do kategorie činností podle požárního nebezpečí</w:t>
            </w:r>
          </w:p>
        </w:tc>
      </w:tr>
      <w:tr w:rsidR="00947F4D" w:rsidRPr="00D72BD1" w:rsidTr="00731D1D">
        <w:trPr>
          <w:trHeight w:val="284"/>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15.</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zpracovávání další potřebné dokumentace požární ochrany</w:t>
            </w:r>
          </w:p>
        </w:tc>
      </w:tr>
      <w:tr w:rsidR="00947F4D" w:rsidRPr="00D72BD1" w:rsidTr="00731D1D">
        <w:trPr>
          <w:trHeight w:val="558"/>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16.</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preventivních požárních prohlídek objektů a pracovišť zadavatele, a to minimálně 1x za 6 měsíců</w:t>
            </w:r>
          </w:p>
        </w:tc>
      </w:tr>
      <w:tr w:rsidR="00947F4D" w:rsidRPr="00D72BD1" w:rsidTr="00731D1D">
        <w:trPr>
          <w:trHeight w:val="494"/>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17.</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dokumentace požární ochrany jednou za rok nebo po každém požáru, nebo po každé změně</w:t>
            </w:r>
            <w:r>
              <w:rPr>
                <w:rFonts w:ascii="Calibri" w:hAnsi="Calibri"/>
                <w:sz w:val="22"/>
                <w:szCs w:val="22"/>
              </w:rPr>
              <w:t>, která měla vliv na její obsah</w:t>
            </w:r>
          </w:p>
        </w:tc>
      </w:tr>
      <w:tr w:rsidR="00947F4D" w:rsidRPr="00D72BD1" w:rsidTr="00731D1D">
        <w:trPr>
          <w:trHeight w:val="363"/>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18.</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účast na požárních kontrolách a dohlídek státní požárního dozoru</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19.</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vytváření podmínek pro hašení požárů a záchranné práce - zejména udržování volné příjezdové komunikace a nástupní plochy pro požární techniku, únikové cesty a volný přístup k nouzovým východům, k rozvodným zařízením elektrické energie, k uzávěrům vody, plynu, topení a produktovodům</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lastRenderedPageBreak/>
              <w:t>20.</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kontrola dodržování technických podmínek a návodů vztahujících se k požární bezpečnosti výrobků nebo činností</w:t>
            </w:r>
          </w:p>
        </w:tc>
      </w:tr>
      <w:tr w:rsidR="00947F4D" w:rsidRPr="00D72BD1" w:rsidTr="00731D1D">
        <w:trPr>
          <w:trHeight w:val="582"/>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21.</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návrhy na označování pracoviště a ostatní míst příslušnými bezpečnostními značkami, příkazy, zákazy a pokyny ve vztahu k požární ochraně</w:t>
            </w:r>
          </w:p>
        </w:tc>
      </w:tr>
      <w:tr w:rsidR="00947F4D" w:rsidRPr="00D72BD1" w:rsidTr="00731D1D">
        <w:trPr>
          <w:trHeight w:val="308"/>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22.</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certifikovaná osoba na kontrolu požárních ucpávek PO</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23.</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pravidelná kontrola dodržování předpisů o požární ochraně a neprodlené odstraňování zjištěné závady</w:t>
            </w:r>
          </w:p>
        </w:tc>
      </w:tr>
      <w:tr w:rsidR="00947F4D" w:rsidRPr="00D72BD1" w:rsidTr="007D1F01">
        <w:trPr>
          <w:trHeight w:val="300"/>
        </w:trPr>
        <w:tc>
          <w:tcPr>
            <w:tcW w:w="9145" w:type="dxa"/>
            <w:gridSpan w:val="2"/>
            <w:shd w:val="clear" w:color="auto" w:fill="auto"/>
            <w:noWrap/>
            <w:hideMark/>
          </w:tcPr>
          <w:p w:rsidR="00947F4D" w:rsidRPr="00D72BD1" w:rsidRDefault="00947F4D" w:rsidP="007D1F01">
            <w:pPr>
              <w:tabs>
                <w:tab w:val="center" w:pos="6300"/>
              </w:tabs>
              <w:rPr>
                <w:rFonts w:ascii="Calibri" w:hAnsi="Calibri"/>
                <w:b/>
                <w:bCs/>
                <w:sz w:val="22"/>
                <w:szCs w:val="22"/>
              </w:rPr>
            </w:pPr>
            <w:r w:rsidRPr="00D72BD1">
              <w:rPr>
                <w:rFonts w:ascii="Calibri" w:hAnsi="Calibri"/>
                <w:b/>
                <w:bCs/>
                <w:sz w:val="22"/>
                <w:szCs w:val="22"/>
              </w:rPr>
              <w:t>správa a aktualizace dokumentací:</w:t>
            </w:r>
          </w:p>
        </w:tc>
      </w:tr>
      <w:tr w:rsidR="00947F4D" w:rsidRPr="00D72BD1" w:rsidTr="007D1F01">
        <w:trPr>
          <w:trHeight w:val="66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24.</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a začlenění do kategorie činností se zvýšeným nebo vysokým požárním nebezpečím včetně míst, kde se tyto činnosti vykonávají</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25.</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posouzení požárního nebezpečí, stanovení organizace zabezpečení požární ochrany</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26.</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kniha</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27.</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požárně poplachové směrnice</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28.</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evakuační plán</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29.</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řád pracoviště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30.</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zdolávání požáru</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31.</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tematický plán a časový rozvrh školení zaměstnanců, odborné přípravy preventivních požárních hlídek a </w:t>
            </w:r>
            <w:proofErr w:type="spellStart"/>
            <w:r w:rsidRPr="00D72BD1">
              <w:rPr>
                <w:rFonts w:ascii="Calibri" w:hAnsi="Calibri"/>
                <w:sz w:val="22"/>
                <w:szCs w:val="22"/>
              </w:rPr>
              <w:t>preventistů</w:t>
            </w:r>
            <w:proofErr w:type="spellEnd"/>
            <w:r w:rsidRPr="00D72BD1">
              <w:rPr>
                <w:rFonts w:ascii="Calibri" w:hAnsi="Calibri"/>
                <w:sz w:val="22"/>
                <w:szCs w:val="22"/>
              </w:rPr>
              <w:t xml:space="preserve"> požární ochrany</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32.</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řád ohlašovny požáru</w:t>
            </w:r>
          </w:p>
        </w:tc>
      </w:tr>
      <w:tr w:rsidR="00947F4D" w:rsidRPr="00D72BD1" w:rsidTr="007D1F01">
        <w:trPr>
          <w:trHeight w:val="3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33.</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o připravenosti a akceschopnosti jednotky požární ochrany, případně požární hlídky</w:t>
            </w:r>
          </w:p>
        </w:tc>
      </w:tr>
      <w:tr w:rsidR="00947F4D" w:rsidRPr="00D72BD1" w:rsidTr="007D1F01">
        <w:trPr>
          <w:trHeight w:val="57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34.</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součástí dokumentace požární ochrany je také dokumentace obsahující například návody, vztahující se k požární bezpečnosti výrobků apod.</w:t>
            </w:r>
          </w:p>
        </w:tc>
      </w:tr>
    </w:tbl>
    <w:p w:rsidR="00947F4D" w:rsidRDefault="00947F4D" w:rsidP="00947F4D">
      <w:pPr>
        <w:tabs>
          <w:tab w:val="center" w:pos="6300"/>
        </w:tabs>
        <w:rPr>
          <w:rFonts w:ascii="Cambria" w:hAnsi="Cambria"/>
          <w:sz w:val="22"/>
          <w:szCs w:val="22"/>
        </w:rPr>
      </w:pPr>
    </w:p>
    <w:p w:rsidR="00947F4D" w:rsidRDefault="00947F4D" w:rsidP="00947F4D">
      <w:pPr>
        <w:tabs>
          <w:tab w:val="center" w:pos="6300"/>
        </w:tabs>
        <w:jc w:val="both"/>
        <w:rPr>
          <w:rFonts w:ascii="Calibri" w:hAnsi="Calibri"/>
          <w:sz w:val="22"/>
          <w:szCs w:val="22"/>
        </w:rPr>
      </w:pPr>
      <w:r w:rsidRPr="00AF43D3">
        <w:rPr>
          <w:rFonts w:ascii="Calibri" w:hAnsi="Calibri"/>
          <w:sz w:val="22"/>
          <w:szCs w:val="22"/>
        </w:rPr>
        <w:t>Výše uvedený soupis činností je orientační, tedy bude se jednat zejména, nikoli však o pouze zde uvedené činnosti. Požadavkem zadavatele je plnění povinností v rozsahu zákona o PO a vyhlášky Ministerstva vnitra ČR č. 246/2001 Sb. § 40 o požární prevenci pro činnosti se zvýšeným požárním nebezpečím provozovaných zadavatelem. Zadavatel bude v rámci uzavřené smlouvy požadovat předem stanovenou reakční dobu ze strany dodavatele od momentu vzniku požadavku zadavatele. Tato doba bude oboustranně dohodnuta před uzavřením příslušné smlouvy.</w:t>
      </w:r>
    </w:p>
    <w:p w:rsidR="00947F4D" w:rsidRDefault="00947F4D" w:rsidP="00947F4D">
      <w:pPr>
        <w:tabs>
          <w:tab w:val="center" w:pos="6300"/>
        </w:tabs>
        <w:jc w:val="both"/>
        <w:rPr>
          <w:rFonts w:ascii="Cambria" w:hAnsi="Cambria"/>
          <w:sz w:val="22"/>
          <w:szCs w:val="22"/>
        </w:rPr>
      </w:pPr>
    </w:p>
    <w:p w:rsidR="00947F4D" w:rsidRDefault="00947F4D" w:rsidP="00947F4D">
      <w:pPr>
        <w:tabs>
          <w:tab w:val="center" w:pos="6300"/>
        </w:tabs>
        <w:rPr>
          <w:rFonts w:ascii="Cambria" w:hAnsi="Cambria"/>
          <w:sz w:val="22"/>
          <w:szCs w:val="22"/>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9580E" w:rsidRPr="00947F4D" w:rsidRDefault="0059580E" w:rsidP="00947F4D">
      <w:pPr>
        <w:autoSpaceDE w:val="0"/>
        <w:autoSpaceDN w:val="0"/>
        <w:adjustRightInd w:val="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sz w:val="32"/>
                <w:szCs w:val="32"/>
              </w:rPr>
            </w:pPr>
            <w:r w:rsidRPr="002B0546">
              <w:rPr>
                <w:b/>
                <w:sz w:val="32"/>
                <w:szCs w:val="32"/>
              </w:rPr>
              <w:t>Čestné prohlášení ke splnění kvalifikace</w:t>
            </w:r>
          </w:p>
          <w:p w:rsidR="00C32221" w:rsidRPr="002B0546" w:rsidRDefault="00C32221" w:rsidP="000E2F4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rPr>
            </w:pPr>
            <w:r w:rsidRPr="002B0546">
              <w:rPr>
                <w:b/>
              </w:rPr>
              <w:t>Veřejná zakázka</w:t>
            </w:r>
          </w:p>
        </w:tc>
      </w:tr>
      <w:tr w:rsidR="00C32221" w:rsidRPr="002B0546" w:rsidTr="000E2F46">
        <w:trPr>
          <w:trHeight w:val="408"/>
        </w:trPr>
        <w:tc>
          <w:tcPr>
            <w:tcW w:w="9889" w:type="dxa"/>
            <w:shd w:val="clear" w:color="auto" w:fill="auto"/>
          </w:tcPr>
          <w:p w:rsidR="00C32221" w:rsidRPr="002B0546" w:rsidRDefault="00947F4D" w:rsidP="00731D1D">
            <w:pPr>
              <w:jc w:val="center"/>
              <w:rPr>
                <w:b/>
              </w:rPr>
            </w:pPr>
            <w:r>
              <w:rPr>
                <w:b/>
                <w:sz w:val="28"/>
              </w:rPr>
              <w:t>Poskytování komple</w:t>
            </w:r>
            <w:r w:rsidR="006B74C9">
              <w:rPr>
                <w:b/>
                <w:sz w:val="28"/>
              </w:rPr>
              <w:t xml:space="preserve">xních služeb BOZP a PO </w:t>
            </w:r>
            <w:r w:rsidR="00731D1D">
              <w:rPr>
                <w:b/>
                <w:sz w:val="28"/>
              </w:rPr>
              <w:t>2021-2022</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C32221" w:rsidRPr="002B0546" w:rsidTr="000E2F46">
        <w:trPr>
          <w:trHeight w:val="454"/>
        </w:trPr>
        <w:tc>
          <w:tcPr>
            <w:tcW w:w="5000" w:type="pct"/>
            <w:gridSpan w:val="2"/>
            <w:shd w:val="clear" w:color="auto" w:fill="auto"/>
            <w:vAlign w:val="center"/>
          </w:tcPr>
          <w:p w:rsidR="00C32221" w:rsidRPr="002B0546" w:rsidRDefault="00C32221" w:rsidP="000E2F46">
            <w:pPr>
              <w:rPr>
                <w:b/>
              </w:rPr>
            </w:pPr>
            <w:r w:rsidRPr="002B0546">
              <w:rPr>
                <w:b/>
                <w:u w:val="single"/>
              </w:rPr>
              <w:t>Účastník:</w:t>
            </w:r>
          </w:p>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Společnost:</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Zastoupena:</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lastRenderedPageBreak/>
              <w:t>Se sídlem:</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IČO:</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Zapsaná v OR u:</w:t>
            </w:r>
          </w:p>
        </w:tc>
        <w:tc>
          <w:tcPr>
            <w:tcW w:w="3797" w:type="pct"/>
            <w:shd w:val="clear" w:color="auto" w:fill="auto"/>
            <w:vAlign w:val="center"/>
          </w:tcPr>
          <w:p w:rsidR="00C32221" w:rsidRPr="002B0546" w:rsidRDefault="00C32221" w:rsidP="000E2F4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proti výkonu pravomoci orgánu veřejné moci a úřední 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w:t>
      </w:r>
      <w:r w:rsidR="00873DAF">
        <w:t>í dokumentaci,</w:t>
      </w:r>
    </w:p>
    <w:p w:rsidR="00873DAF" w:rsidRDefault="00873DAF" w:rsidP="00EA7232">
      <w:pPr>
        <w:widowControl w:val="0"/>
        <w:numPr>
          <w:ilvl w:val="0"/>
          <w:numId w:val="12"/>
        </w:numPr>
        <w:ind w:left="284" w:hanging="284"/>
        <w:jc w:val="both"/>
      </w:pPr>
      <w:r>
        <w:t xml:space="preserve">splňuje </w:t>
      </w:r>
      <w:r w:rsidRPr="00193106">
        <w:rPr>
          <w:b/>
        </w:rPr>
        <w:t>technickou kvalifikaci</w:t>
      </w:r>
      <w:r>
        <w:t>, kterou zadavatel p</w:t>
      </w:r>
      <w:r w:rsidR="00EA7232">
        <w:t xml:space="preserve">ožadoval v zadávací dokumentaci a </w:t>
      </w:r>
      <w:r w:rsidR="00193106">
        <w:t xml:space="preserve">předkládá </w:t>
      </w:r>
      <w:r>
        <w:t>seznam významných zakázek za poslední 3 roky:</w:t>
      </w:r>
    </w:p>
    <w:p w:rsidR="00193106" w:rsidRDefault="00193106" w:rsidP="00873DAF">
      <w:pPr>
        <w:widowControl w:val="0"/>
        <w:ind w:left="284"/>
        <w:jc w:val="both"/>
      </w:pPr>
    </w:p>
    <w:tbl>
      <w:tblPr>
        <w:tblStyle w:val="Mkatabulky"/>
        <w:tblW w:w="0" w:type="auto"/>
        <w:tblInd w:w="284" w:type="dxa"/>
        <w:tblLook w:val="04A0" w:firstRow="1" w:lastRow="0" w:firstColumn="1" w:lastColumn="0" w:noHBand="0" w:noVBand="1"/>
      </w:tblPr>
      <w:tblGrid>
        <w:gridCol w:w="2392"/>
        <w:gridCol w:w="2399"/>
        <w:gridCol w:w="2121"/>
        <w:gridCol w:w="2658"/>
      </w:tblGrid>
      <w:tr w:rsidR="00193106" w:rsidTr="00193106">
        <w:tc>
          <w:tcPr>
            <w:tcW w:w="2392" w:type="dxa"/>
          </w:tcPr>
          <w:p w:rsidR="00873DAF" w:rsidRPr="00193106" w:rsidRDefault="00193106" w:rsidP="00873DAF">
            <w:pPr>
              <w:widowControl w:val="0"/>
              <w:jc w:val="both"/>
              <w:rPr>
                <w:b/>
                <w:sz w:val="22"/>
              </w:rPr>
            </w:pPr>
            <w:r w:rsidRPr="00193106">
              <w:rPr>
                <w:b/>
                <w:sz w:val="22"/>
              </w:rPr>
              <w:t>Zakázka</w:t>
            </w:r>
          </w:p>
        </w:tc>
        <w:tc>
          <w:tcPr>
            <w:tcW w:w="2399" w:type="dxa"/>
          </w:tcPr>
          <w:p w:rsidR="00873DAF" w:rsidRPr="00193106" w:rsidRDefault="00EA7232" w:rsidP="00873DAF">
            <w:pPr>
              <w:widowControl w:val="0"/>
              <w:jc w:val="both"/>
              <w:rPr>
                <w:b/>
                <w:sz w:val="22"/>
              </w:rPr>
            </w:pPr>
            <w:r w:rsidRPr="00193106">
              <w:rPr>
                <w:b/>
                <w:sz w:val="22"/>
              </w:rPr>
              <w:t>O</w:t>
            </w:r>
            <w:r w:rsidR="00193106" w:rsidRPr="00193106">
              <w:rPr>
                <w:b/>
                <w:sz w:val="22"/>
              </w:rPr>
              <w:t>bjednatel</w:t>
            </w:r>
            <w:r>
              <w:rPr>
                <w:b/>
                <w:sz w:val="22"/>
              </w:rPr>
              <w:t>, kontakt</w:t>
            </w:r>
          </w:p>
        </w:tc>
        <w:tc>
          <w:tcPr>
            <w:tcW w:w="2121" w:type="dxa"/>
          </w:tcPr>
          <w:p w:rsidR="00873DAF" w:rsidRPr="00193106" w:rsidRDefault="00193106" w:rsidP="00873DAF">
            <w:pPr>
              <w:widowControl w:val="0"/>
              <w:jc w:val="both"/>
              <w:rPr>
                <w:b/>
                <w:sz w:val="22"/>
              </w:rPr>
            </w:pPr>
            <w:r w:rsidRPr="00193106">
              <w:rPr>
                <w:b/>
                <w:sz w:val="22"/>
              </w:rPr>
              <w:t>Doba plnění</w:t>
            </w:r>
          </w:p>
        </w:tc>
        <w:tc>
          <w:tcPr>
            <w:tcW w:w="2658" w:type="dxa"/>
          </w:tcPr>
          <w:p w:rsidR="00873DAF" w:rsidRPr="00193106" w:rsidRDefault="00193106" w:rsidP="00873DAF">
            <w:pPr>
              <w:widowControl w:val="0"/>
              <w:jc w:val="both"/>
              <w:rPr>
                <w:b/>
                <w:sz w:val="22"/>
              </w:rPr>
            </w:pPr>
            <w:r w:rsidRPr="00193106">
              <w:rPr>
                <w:b/>
                <w:sz w:val="22"/>
              </w:rPr>
              <w:t>Hodnota v Kč bez DPH</w:t>
            </w: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193106" w:rsidRDefault="00193106" w:rsidP="00873DAF">
            <w:pPr>
              <w:widowControl w:val="0"/>
              <w:jc w:val="both"/>
            </w:pPr>
          </w:p>
        </w:tc>
        <w:tc>
          <w:tcPr>
            <w:tcW w:w="2399" w:type="dxa"/>
          </w:tcPr>
          <w:p w:rsidR="00193106" w:rsidRDefault="00193106" w:rsidP="00873DAF">
            <w:pPr>
              <w:widowControl w:val="0"/>
              <w:jc w:val="both"/>
            </w:pPr>
          </w:p>
        </w:tc>
        <w:tc>
          <w:tcPr>
            <w:tcW w:w="2121" w:type="dxa"/>
          </w:tcPr>
          <w:p w:rsidR="00193106" w:rsidRDefault="00193106" w:rsidP="00873DAF">
            <w:pPr>
              <w:widowControl w:val="0"/>
              <w:jc w:val="both"/>
            </w:pPr>
          </w:p>
        </w:tc>
        <w:tc>
          <w:tcPr>
            <w:tcW w:w="2658" w:type="dxa"/>
          </w:tcPr>
          <w:p w:rsidR="00193106" w:rsidRDefault="00193106" w:rsidP="00873DAF">
            <w:pPr>
              <w:widowControl w:val="0"/>
              <w:jc w:val="both"/>
            </w:pPr>
          </w:p>
        </w:tc>
      </w:tr>
    </w:tbl>
    <w:p w:rsidR="00873DAF" w:rsidRPr="003D18CC" w:rsidRDefault="00873DAF" w:rsidP="00873DAF">
      <w:pPr>
        <w:widowControl w:val="0"/>
        <w:ind w:left="284"/>
        <w:jc w:val="both"/>
      </w:pPr>
    </w:p>
    <w:p w:rsidR="00193106" w:rsidRDefault="00193106" w:rsidP="00C32221">
      <w:pPr>
        <w:jc w:val="both"/>
        <w:rPr>
          <w:bCs/>
        </w:rPr>
      </w:pPr>
    </w:p>
    <w:p w:rsidR="00C32221" w:rsidRPr="00F33DCA" w:rsidRDefault="0050578D" w:rsidP="00EF2B5A">
      <w:pPr>
        <w:pStyle w:val="Odstavecseseznamem"/>
        <w:numPr>
          <w:ilvl w:val="0"/>
          <w:numId w:val="12"/>
        </w:numPr>
        <w:jc w:val="both"/>
        <w:rPr>
          <w:bCs/>
        </w:rPr>
      </w:pPr>
      <w:r>
        <w:rPr>
          <w:bCs/>
        </w:rPr>
        <w:t>Tímto</w:t>
      </w:r>
      <w:r w:rsidR="00C32221" w:rsidRPr="00F33DCA">
        <w:rPr>
          <w:bCs/>
        </w:rPr>
        <w:t xml:space="preserve"> prohlášení</w:t>
      </w:r>
      <w:r>
        <w:rPr>
          <w:bCs/>
        </w:rPr>
        <w:t>m potvrzuji</w:t>
      </w:r>
      <w:r w:rsidR="00C32221" w:rsidRPr="00F33DCA">
        <w:rPr>
          <w:bCs/>
        </w:rPr>
        <w:t xml:space="preserve"> pravdivost a správnost veškerých údajů uvedených v tomto čestném prohlášení</w:t>
      </w:r>
      <w:r w:rsidR="00C32221">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C32221" w:rsidRPr="002B0546" w:rsidTr="000E2F46">
        <w:tc>
          <w:tcPr>
            <w:tcW w:w="4606" w:type="dxa"/>
            <w:shd w:val="clear" w:color="auto" w:fill="auto"/>
          </w:tcPr>
          <w:p w:rsidR="00C32221" w:rsidRPr="002B0546" w:rsidRDefault="00C32221" w:rsidP="000E2F46">
            <w:pPr>
              <w:jc w:val="both"/>
              <w:rPr>
                <w:b/>
                <w:bCs/>
              </w:rPr>
            </w:pPr>
            <w:r w:rsidRPr="002B0546">
              <w:rPr>
                <w:b/>
                <w:bCs/>
              </w:rPr>
              <w:t>Místo a datum:</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50578D">
            <w:pPr>
              <w:jc w:val="both"/>
              <w:rPr>
                <w:b/>
                <w:bCs/>
              </w:rPr>
            </w:pPr>
          </w:p>
        </w:tc>
        <w:tc>
          <w:tcPr>
            <w:tcW w:w="5141" w:type="dxa"/>
            <w:shd w:val="clear" w:color="auto" w:fill="auto"/>
          </w:tcPr>
          <w:p w:rsidR="00C32221" w:rsidRPr="002B0546" w:rsidRDefault="00C32221" w:rsidP="000E2F4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0"/>
      <w:footerReference w:type="default" r:id="rId11"/>
      <w:headerReference w:type="first" r:id="rId12"/>
      <w:footerReference w:type="first" r:id="rId13"/>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67" w:rsidRDefault="00B81B67" w:rsidP="004A5027">
      <w:r>
        <w:separator/>
      </w:r>
    </w:p>
  </w:endnote>
  <w:endnote w:type="continuationSeparator" w:id="0">
    <w:p w:rsidR="00B81B67" w:rsidRDefault="00B81B67"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v:textbox>
            </v:shape>
          </w:pict>
        </mc:Fallback>
      </mc:AlternateContent>
    </w:r>
    <w:r w:rsidR="007D027E">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7D027E" w:rsidRPr="00A51959" w:rsidRDefault="007D027E"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93106">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67" w:rsidRDefault="00B81B67" w:rsidP="004A5027">
      <w:r>
        <w:separator/>
      </w:r>
    </w:p>
  </w:footnote>
  <w:footnote w:type="continuationSeparator" w:id="0">
    <w:p w:rsidR="00B81B67" w:rsidRDefault="00B81B67"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rsidP="00BC0042">
    <w:pPr>
      <w:pStyle w:val="Zhlav"/>
    </w:pPr>
  </w:p>
  <w:p w:rsidR="007D027E" w:rsidRDefault="007D027E" w:rsidP="005E5EB5">
    <w:pPr>
      <w:pStyle w:val="Zhlav"/>
      <w:pBdr>
        <w:bottom w:val="single" w:sz="4" w:space="1" w:color="auto"/>
      </w:pBdr>
      <w:rPr>
        <w:rFonts w:ascii="Times New Roman" w:hAnsi="Times New Roman" w:cs="Times New Roman"/>
        <w:noProof/>
        <w:lang w:eastAsia="cs-CZ"/>
      </w:rPr>
    </w:pPr>
  </w:p>
  <w:p w:rsidR="007D027E" w:rsidRPr="005E5EB5" w:rsidRDefault="007D027E"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w:t>
    </w:r>
    <w:r w:rsidR="006B74C9">
      <w:rPr>
        <w:rFonts w:ascii="Times New Roman" w:hAnsi="Times New Roman" w:cs="Times New Roman"/>
        <w:noProof/>
        <w:sz w:val="20"/>
        <w:lang w:eastAsia="cs-CZ"/>
      </w:rPr>
      <w:t>Komplexní zaj</w:t>
    </w:r>
    <w:r w:rsidR="00B513BA">
      <w:rPr>
        <w:rFonts w:ascii="Times New Roman" w:hAnsi="Times New Roman" w:cs="Times New Roman"/>
        <w:noProof/>
        <w:sz w:val="20"/>
        <w:lang w:eastAsia="cs-CZ"/>
      </w:rPr>
      <w:t>ištění služeb BOZP a PO 2021-2022</w:t>
    </w:r>
    <w:r w:rsidRPr="00C70EBD">
      <w:rPr>
        <w:rFonts w:ascii="Times New Roman" w:hAnsi="Times New Roman" w:cs="Times New Roman"/>
        <w:noProof/>
        <w:sz w:val="20"/>
        <w:lang w:eastAsia="cs-CZ"/>
      </w:rPr>
      <w:tab/>
      <w:t xml:space="preserve">                                                                                      </w:t>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00575975"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575975" w:rsidRPr="005E5EB5">
      <w:rPr>
        <w:rFonts w:ascii="Times New Roman" w:hAnsi="Times New Roman" w:cs="Times New Roman"/>
        <w:noProof/>
        <w:sz w:val="20"/>
        <w:lang w:eastAsia="cs-CZ"/>
      </w:rPr>
      <w:fldChar w:fldCharType="separate"/>
    </w:r>
    <w:r w:rsidR="0049023F">
      <w:rPr>
        <w:rFonts w:ascii="Times New Roman" w:hAnsi="Times New Roman" w:cs="Times New Roman"/>
        <w:noProof/>
        <w:sz w:val="20"/>
        <w:lang w:eastAsia="cs-CZ"/>
      </w:rPr>
      <w:t>12</w:t>
    </w:r>
    <w:r w:rsidR="00575975"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9B4852"/>
    <w:multiLevelType w:val="hybridMultilevel"/>
    <w:tmpl w:val="6324B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435E08"/>
    <w:multiLevelType w:val="hybridMultilevel"/>
    <w:tmpl w:val="EFB215B4"/>
    <w:lvl w:ilvl="0" w:tplc="3A3C7940">
      <w:start w:val="1"/>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3">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5">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6">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8"/>
  </w:num>
  <w:num w:numId="2">
    <w:abstractNumId w:val="32"/>
  </w:num>
  <w:num w:numId="3">
    <w:abstractNumId w:val="0"/>
  </w:num>
  <w:num w:numId="4">
    <w:abstractNumId w:val="30"/>
  </w:num>
  <w:num w:numId="5">
    <w:abstractNumId w:val="13"/>
  </w:num>
  <w:num w:numId="6">
    <w:abstractNumId w:val="33"/>
  </w:num>
  <w:num w:numId="7">
    <w:abstractNumId w:val="19"/>
  </w:num>
  <w:num w:numId="8">
    <w:abstractNumId w:val="16"/>
  </w:num>
  <w:num w:numId="9">
    <w:abstractNumId w:val="20"/>
  </w:num>
  <w:num w:numId="10">
    <w:abstractNumId w:val="27"/>
  </w:num>
  <w:num w:numId="11">
    <w:abstractNumId w:val="26"/>
  </w:num>
  <w:num w:numId="12">
    <w:abstractNumId w:val="15"/>
  </w:num>
  <w:num w:numId="13">
    <w:abstractNumId w:val="17"/>
  </w:num>
  <w:num w:numId="14">
    <w:abstractNumId w:val="31"/>
  </w:num>
  <w:num w:numId="15">
    <w:abstractNumId w:val="22"/>
  </w:num>
  <w:num w:numId="16">
    <w:abstractNumId w:val="24"/>
  </w:num>
  <w:num w:numId="17">
    <w:abstractNumId w:val="12"/>
  </w:num>
  <w:num w:numId="18">
    <w:abstractNumId w:val="23"/>
  </w:num>
  <w:num w:numId="19">
    <w:abstractNumId w:val="28"/>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07DFD"/>
    <w:rsid w:val="000152C4"/>
    <w:rsid w:val="00017D78"/>
    <w:rsid w:val="0002150C"/>
    <w:rsid w:val="00024363"/>
    <w:rsid w:val="0002496F"/>
    <w:rsid w:val="00024DA3"/>
    <w:rsid w:val="00027185"/>
    <w:rsid w:val="00027DDA"/>
    <w:rsid w:val="00030972"/>
    <w:rsid w:val="00036078"/>
    <w:rsid w:val="00036C37"/>
    <w:rsid w:val="00042796"/>
    <w:rsid w:val="0004348B"/>
    <w:rsid w:val="00050B1F"/>
    <w:rsid w:val="0005774E"/>
    <w:rsid w:val="000628B6"/>
    <w:rsid w:val="00064DA8"/>
    <w:rsid w:val="000671F2"/>
    <w:rsid w:val="00071DA7"/>
    <w:rsid w:val="0007570E"/>
    <w:rsid w:val="00075B6F"/>
    <w:rsid w:val="00080175"/>
    <w:rsid w:val="00086B91"/>
    <w:rsid w:val="00090B31"/>
    <w:rsid w:val="00093A6B"/>
    <w:rsid w:val="000949EC"/>
    <w:rsid w:val="000A79F3"/>
    <w:rsid w:val="000B0CC1"/>
    <w:rsid w:val="000B1827"/>
    <w:rsid w:val="000C1149"/>
    <w:rsid w:val="000C25A9"/>
    <w:rsid w:val="000E13F4"/>
    <w:rsid w:val="000E28B1"/>
    <w:rsid w:val="000E2F46"/>
    <w:rsid w:val="000E4607"/>
    <w:rsid w:val="000E4BB7"/>
    <w:rsid w:val="000F12CC"/>
    <w:rsid w:val="000F1C8A"/>
    <w:rsid w:val="000F6524"/>
    <w:rsid w:val="000F78F2"/>
    <w:rsid w:val="00107B7F"/>
    <w:rsid w:val="001101F2"/>
    <w:rsid w:val="00110EC9"/>
    <w:rsid w:val="00124142"/>
    <w:rsid w:val="00127795"/>
    <w:rsid w:val="001328A9"/>
    <w:rsid w:val="0013386E"/>
    <w:rsid w:val="00136370"/>
    <w:rsid w:val="00136470"/>
    <w:rsid w:val="00136EA9"/>
    <w:rsid w:val="0014342D"/>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87FA4"/>
    <w:rsid w:val="0019004A"/>
    <w:rsid w:val="00192B9C"/>
    <w:rsid w:val="00193106"/>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35E9"/>
    <w:rsid w:val="00216D78"/>
    <w:rsid w:val="00217D89"/>
    <w:rsid w:val="0022104F"/>
    <w:rsid w:val="00224AEC"/>
    <w:rsid w:val="00235BCE"/>
    <w:rsid w:val="00245333"/>
    <w:rsid w:val="002475A5"/>
    <w:rsid w:val="00250F34"/>
    <w:rsid w:val="00253339"/>
    <w:rsid w:val="00253E17"/>
    <w:rsid w:val="0026103C"/>
    <w:rsid w:val="0027265F"/>
    <w:rsid w:val="00283B04"/>
    <w:rsid w:val="002857B0"/>
    <w:rsid w:val="00285B14"/>
    <w:rsid w:val="00285F97"/>
    <w:rsid w:val="0028608C"/>
    <w:rsid w:val="002938FB"/>
    <w:rsid w:val="002A2BF8"/>
    <w:rsid w:val="002A4BFD"/>
    <w:rsid w:val="002A7FE4"/>
    <w:rsid w:val="002B3034"/>
    <w:rsid w:val="002B4AE1"/>
    <w:rsid w:val="002B777F"/>
    <w:rsid w:val="002C21C5"/>
    <w:rsid w:val="002C4ACE"/>
    <w:rsid w:val="002C7A33"/>
    <w:rsid w:val="002E2364"/>
    <w:rsid w:val="002E2F2C"/>
    <w:rsid w:val="002E7BD3"/>
    <w:rsid w:val="002F0DF3"/>
    <w:rsid w:val="002F685A"/>
    <w:rsid w:val="00301756"/>
    <w:rsid w:val="0030231C"/>
    <w:rsid w:val="0030584B"/>
    <w:rsid w:val="003076CC"/>
    <w:rsid w:val="00313E24"/>
    <w:rsid w:val="00317516"/>
    <w:rsid w:val="00324591"/>
    <w:rsid w:val="003412A6"/>
    <w:rsid w:val="00343FD0"/>
    <w:rsid w:val="00345F53"/>
    <w:rsid w:val="00346510"/>
    <w:rsid w:val="00351FD0"/>
    <w:rsid w:val="00352B42"/>
    <w:rsid w:val="00354252"/>
    <w:rsid w:val="00354DAF"/>
    <w:rsid w:val="00360AF7"/>
    <w:rsid w:val="00361D12"/>
    <w:rsid w:val="0036286C"/>
    <w:rsid w:val="00363454"/>
    <w:rsid w:val="00364DCD"/>
    <w:rsid w:val="00365A54"/>
    <w:rsid w:val="00367B01"/>
    <w:rsid w:val="0037189C"/>
    <w:rsid w:val="0037352A"/>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54A6"/>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46070"/>
    <w:rsid w:val="00451A4F"/>
    <w:rsid w:val="00453E03"/>
    <w:rsid w:val="0045423B"/>
    <w:rsid w:val="00457E55"/>
    <w:rsid w:val="004671C9"/>
    <w:rsid w:val="00473903"/>
    <w:rsid w:val="00474BC2"/>
    <w:rsid w:val="0047502B"/>
    <w:rsid w:val="0047726C"/>
    <w:rsid w:val="00477747"/>
    <w:rsid w:val="0047788D"/>
    <w:rsid w:val="00477F8E"/>
    <w:rsid w:val="00484261"/>
    <w:rsid w:val="004877B1"/>
    <w:rsid w:val="00487AF7"/>
    <w:rsid w:val="0049023F"/>
    <w:rsid w:val="00490406"/>
    <w:rsid w:val="00491659"/>
    <w:rsid w:val="00496AEC"/>
    <w:rsid w:val="004A1BBF"/>
    <w:rsid w:val="004A3093"/>
    <w:rsid w:val="004A5027"/>
    <w:rsid w:val="004A5A05"/>
    <w:rsid w:val="004B0FB9"/>
    <w:rsid w:val="004B1817"/>
    <w:rsid w:val="004B181B"/>
    <w:rsid w:val="004B63D9"/>
    <w:rsid w:val="004C2AF6"/>
    <w:rsid w:val="004D03EA"/>
    <w:rsid w:val="004D2F22"/>
    <w:rsid w:val="004E5CF7"/>
    <w:rsid w:val="004E6543"/>
    <w:rsid w:val="004F6198"/>
    <w:rsid w:val="004F6DF8"/>
    <w:rsid w:val="0050144B"/>
    <w:rsid w:val="005056A0"/>
    <w:rsid w:val="0050578D"/>
    <w:rsid w:val="00507E1D"/>
    <w:rsid w:val="00513A49"/>
    <w:rsid w:val="00513DE8"/>
    <w:rsid w:val="0052391E"/>
    <w:rsid w:val="005241B1"/>
    <w:rsid w:val="00531FDC"/>
    <w:rsid w:val="00536B48"/>
    <w:rsid w:val="0054115A"/>
    <w:rsid w:val="00542F45"/>
    <w:rsid w:val="00545DB5"/>
    <w:rsid w:val="00552658"/>
    <w:rsid w:val="00553C90"/>
    <w:rsid w:val="00562BE1"/>
    <w:rsid w:val="005643D8"/>
    <w:rsid w:val="00564452"/>
    <w:rsid w:val="00564E93"/>
    <w:rsid w:val="005722DB"/>
    <w:rsid w:val="00572FAF"/>
    <w:rsid w:val="00575975"/>
    <w:rsid w:val="005802B7"/>
    <w:rsid w:val="005832C3"/>
    <w:rsid w:val="0059046B"/>
    <w:rsid w:val="0059580E"/>
    <w:rsid w:val="005960B3"/>
    <w:rsid w:val="005A439D"/>
    <w:rsid w:val="005A671F"/>
    <w:rsid w:val="005A7109"/>
    <w:rsid w:val="005B2C3C"/>
    <w:rsid w:val="005B3A84"/>
    <w:rsid w:val="005B56EB"/>
    <w:rsid w:val="005B6F74"/>
    <w:rsid w:val="005C469B"/>
    <w:rsid w:val="005C4C36"/>
    <w:rsid w:val="005C6B3C"/>
    <w:rsid w:val="005D0016"/>
    <w:rsid w:val="005D10C3"/>
    <w:rsid w:val="005D230C"/>
    <w:rsid w:val="005D27A5"/>
    <w:rsid w:val="005D3C54"/>
    <w:rsid w:val="005E0587"/>
    <w:rsid w:val="005E1FBA"/>
    <w:rsid w:val="005E2738"/>
    <w:rsid w:val="005E30F1"/>
    <w:rsid w:val="005E5EB5"/>
    <w:rsid w:val="005E777A"/>
    <w:rsid w:val="005F2597"/>
    <w:rsid w:val="005F6201"/>
    <w:rsid w:val="00604F84"/>
    <w:rsid w:val="00605706"/>
    <w:rsid w:val="0061160A"/>
    <w:rsid w:val="00611F1A"/>
    <w:rsid w:val="00623A67"/>
    <w:rsid w:val="00632F54"/>
    <w:rsid w:val="006344B9"/>
    <w:rsid w:val="0063494B"/>
    <w:rsid w:val="00636B45"/>
    <w:rsid w:val="0063745C"/>
    <w:rsid w:val="00644948"/>
    <w:rsid w:val="006514BC"/>
    <w:rsid w:val="0065313B"/>
    <w:rsid w:val="006541B2"/>
    <w:rsid w:val="006609C4"/>
    <w:rsid w:val="00671A0C"/>
    <w:rsid w:val="00671E1E"/>
    <w:rsid w:val="00672333"/>
    <w:rsid w:val="0067331C"/>
    <w:rsid w:val="00676A7E"/>
    <w:rsid w:val="006800F4"/>
    <w:rsid w:val="006807CE"/>
    <w:rsid w:val="00685295"/>
    <w:rsid w:val="00686196"/>
    <w:rsid w:val="00687E3C"/>
    <w:rsid w:val="00687E91"/>
    <w:rsid w:val="006915AE"/>
    <w:rsid w:val="00696C14"/>
    <w:rsid w:val="00697804"/>
    <w:rsid w:val="006A0324"/>
    <w:rsid w:val="006A342F"/>
    <w:rsid w:val="006A3E5A"/>
    <w:rsid w:val="006A6900"/>
    <w:rsid w:val="006B74C9"/>
    <w:rsid w:val="006C1DAC"/>
    <w:rsid w:val="006D18AD"/>
    <w:rsid w:val="006D6820"/>
    <w:rsid w:val="006E6536"/>
    <w:rsid w:val="006F6A15"/>
    <w:rsid w:val="00701432"/>
    <w:rsid w:val="00701AEA"/>
    <w:rsid w:val="00710590"/>
    <w:rsid w:val="00713D19"/>
    <w:rsid w:val="007140B3"/>
    <w:rsid w:val="0073028B"/>
    <w:rsid w:val="007315D5"/>
    <w:rsid w:val="00731D1D"/>
    <w:rsid w:val="00732437"/>
    <w:rsid w:val="00740480"/>
    <w:rsid w:val="0074084B"/>
    <w:rsid w:val="00744556"/>
    <w:rsid w:val="007453C4"/>
    <w:rsid w:val="00750408"/>
    <w:rsid w:val="00761508"/>
    <w:rsid w:val="00762871"/>
    <w:rsid w:val="00772831"/>
    <w:rsid w:val="007821AC"/>
    <w:rsid w:val="007936B6"/>
    <w:rsid w:val="007A5A83"/>
    <w:rsid w:val="007B117B"/>
    <w:rsid w:val="007B29EF"/>
    <w:rsid w:val="007B3819"/>
    <w:rsid w:val="007B3A27"/>
    <w:rsid w:val="007C1D98"/>
    <w:rsid w:val="007C29EC"/>
    <w:rsid w:val="007C51C5"/>
    <w:rsid w:val="007C5A21"/>
    <w:rsid w:val="007C5FD7"/>
    <w:rsid w:val="007D027E"/>
    <w:rsid w:val="007D0375"/>
    <w:rsid w:val="007D7DEF"/>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63021"/>
    <w:rsid w:val="0086547F"/>
    <w:rsid w:val="00871EF3"/>
    <w:rsid w:val="00873DAF"/>
    <w:rsid w:val="00882DD7"/>
    <w:rsid w:val="00882FCF"/>
    <w:rsid w:val="00890008"/>
    <w:rsid w:val="00890BCA"/>
    <w:rsid w:val="008958F3"/>
    <w:rsid w:val="008A15CB"/>
    <w:rsid w:val="008A46CE"/>
    <w:rsid w:val="008B2257"/>
    <w:rsid w:val="008B23B7"/>
    <w:rsid w:val="008B4D44"/>
    <w:rsid w:val="008B59EE"/>
    <w:rsid w:val="008B5B3A"/>
    <w:rsid w:val="008C0115"/>
    <w:rsid w:val="008C43CC"/>
    <w:rsid w:val="008C6140"/>
    <w:rsid w:val="008D2D94"/>
    <w:rsid w:val="008E3D8E"/>
    <w:rsid w:val="008E4975"/>
    <w:rsid w:val="008E4D38"/>
    <w:rsid w:val="008E52B0"/>
    <w:rsid w:val="008F0BFD"/>
    <w:rsid w:val="008F14FD"/>
    <w:rsid w:val="008F1FBD"/>
    <w:rsid w:val="008F22E3"/>
    <w:rsid w:val="008F711E"/>
    <w:rsid w:val="008F7A2F"/>
    <w:rsid w:val="008F7ED3"/>
    <w:rsid w:val="0090014D"/>
    <w:rsid w:val="00900DC0"/>
    <w:rsid w:val="00902CD2"/>
    <w:rsid w:val="009034DB"/>
    <w:rsid w:val="009053D1"/>
    <w:rsid w:val="00915C53"/>
    <w:rsid w:val="009164CC"/>
    <w:rsid w:val="00923682"/>
    <w:rsid w:val="0092497E"/>
    <w:rsid w:val="00926B7F"/>
    <w:rsid w:val="009426C4"/>
    <w:rsid w:val="0094458F"/>
    <w:rsid w:val="009460AA"/>
    <w:rsid w:val="00947F4D"/>
    <w:rsid w:val="0095241A"/>
    <w:rsid w:val="0096139D"/>
    <w:rsid w:val="009619FE"/>
    <w:rsid w:val="00963C62"/>
    <w:rsid w:val="00964AEC"/>
    <w:rsid w:val="00965C85"/>
    <w:rsid w:val="009662C4"/>
    <w:rsid w:val="009662F9"/>
    <w:rsid w:val="0097284C"/>
    <w:rsid w:val="009754DD"/>
    <w:rsid w:val="009764BD"/>
    <w:rsid w:val="0097760D"/>
    <w:rsid w:val="009830A2"/>
    <w:rsid w:val="009869BE"/>
    <w:rsid w:val="009902FA"/>
    <w:rsid w:val="00996176"/>
    <w:rsid w:val="00997C84"/>
    <w:rsid w:val="009A2C12"/>
    <w:rsid w:val="009A4539"/>
    <w:rsid w:val="009B3001"/>
    <w:rsid w:val="009B3F25"/>
    <w:rsid w:val="009D0D54"/>
    <w:rsid w:val="009D286C"/>
    <w:rsid w:val="009D3501"/>
    <w:rsid w:val="009D5D98"/>
    <w:rsid w:val="009D5F35"/>
    <w:rsid w:val="009E0394"/>
    <w:rsid w:val="009E1F46"/>
    <w:rsid w:val="009E3A9A"/>
    <w:rsid w:val="009E6C8D"/>
    <w:rsid w:val="009E6EF0"/>
    <w:rsid w:val="009E6F65"/>
    <w:rsid w:val="009F6E9D"/>
    <w:rsid w:val="00A07CC6"/>
    <w:rsid w:val="00A114A5"/>
    <w:rsid w:val="00A31266"/>
    <w:rsid w:val="00A31A89"/>
    <w:rsid w:val="00A31C1B"/>
    <w:rsid w:val="00A321EB"/>
    <w:rsid w:val="00A33661"/>
    <w:rsid w:val="00A350A6"/>
    <w:rsid w:val="00A36B4A"/>
    <w:rsid w:val="00A40A9C"/>
    <w:rsid w:val="00A44990"/>
    <w:rsid w:val="00A45003"/>
    <w:rsid w:val="00A51959"/>
    <w:rsid w:val="00A56597"/>
    <w:rsid w:val="00A56C3C"/>
    <w:rsid w:val="00A609E9"/>
    <w:rsid w:val="00A62BD6"/>
    <w:rsid w:val="00A666CB"/>
    <w:rsid w:val="00A8398B"/>
    <w:rsid w:val="00A83A19"/>
    <w:rsid w:val="00A947FE"/>
    <w:rsid w:val="00AA04B7"/>
    <w:rsid w:val="00AA2427"/>
    <w:rsid w:val="00AA4C12"/>
    <w:rsid w:val="00AB585F"/>
    <w:rsid w:val="00AC0C90"/>
    <w:rsid w:val="00AC2EFE"/>
    <w:rsid w:val="00AC71DD"/>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3BA"/>
    <w:rsid w:val="00B51F48"/>
    <w:rsid w:val="00B52168"/>
    <w:rsid w:val="00B562D8"/>
    <w:rsid w:val="00B6188F"/>
    <w:rsid w:val="00B708F0"/>
    <w:rsid w:val="00B70CE2"/>
    <w:rsid w:val="00B73492"/>
    <w:rsid w:val="00B74364"/>
    <w:rsid w:val="00B81B67"/>
    <w:rsid w:val="00B826B9"/>
    <w:rsid w:val="00B92CD5"/>
    <w:rsid w:val="00BA1D5D"/>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3BDD"/>
    <w:rsid w:val="00BE428B"/>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6B00"/>
    <w:rsid w:val="00C6234C"/>
    <w:rsid w:val="00C67984"/>
    <w:rsid w:val="00C70EBD"/>
    <w:rsid w:val="00C76257"/>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18E5"/>
    <w:rsid w:val="00D02384"/>
    <w:rsid w:val="00D040AB"/>
    <w:rsid w:val="00D12CBA"/>
    <w:rsid w:val="00D15DC0"/>
    <w:rsid w:val="00D21CBE"/>
    <w:rsid w:val="00D22597"/>
    <w:rsid w:val="00D247F8"/>
    <w:rsid w:val="00D34B02"/>
    <w:rsid w:val="00D4615F"/>
    <w:rsid w:val="00D5022C"/>
    <w:rsid w:val="00D50762"/>
    <w:rsid w:val="00D6171F"/>
    <w:rsid w:val="00D6464A"/>
    <w:rsid w:val="00D76AD3"/>
    <w:rsid w:val="00D95556"/>
    <w:rsid w:val="00DA01B3"/>
    <w:rsid w:val="00DA67FE"/>
    <w:rsid w:val="00DB002A"/>
    <w:rsid w:val="00DB07C7"/>
    <w:rsid w:val="00DB0FE4"/>
    <w:rsid w:val="00DB1CD6"/>
    <w:rsid w:val="00DB3A43"/>
    <w:rsid w:val="00DC03BD"/>
    <w:rsid w:val="00DC131A"/>
    <w:rsid w:val="00DC5DED"/>
    <w:rsid w:val="00DD37DC"/>
    <w:rsid w:val="00DE4475"/>
    <w:rsid w:val="00DE471D"/>
    <w:rsid w:val="00DE7DB8"/>
    <w:rsid w:val="00E0455D"/>
    <w:rsid w:val="00E06AC2"/>
    <w:rsid w:val="00E10952"/>
    <w:rsid w:val="00E111EA"/>
    <w:rsid w:val="00E15DE6"/>
    <w:rsid w:val="00E20385"/>
    <w:rsid w:val="00E250A4"/>
    <w:rsid w:val="00E251DD"/>
    <w:rsid w:val="00E2655B"/>
    <w:rsid w:val="00E27D23"/>
    <w:rsid w:val="00E310F5"/>
    <w:rsid w:val="00E348C5"/>
    <w:rsid w:val="00E352A3"/>
    <w:rsid w:val="00E41E05"/>
    <w:rsid w:val="00E445A4"/>
    <w:rsid w:val="00E456A4"/>
    <w:rsid w:val="00E508ED"/>
    <w:rsid w:val="00E602E8"/>
    <w:rsid w:val="00E60D6F"/>
    <w:rsid w:val="00E63364"/>
    <w:rsid w:val="00E76CFE"/>
    <w:rsid w:val="00E7764C"/>
    <w:rsid w:val="00E83929"/>
    <w:rsid w:val="00E86354"/>
    <w:rsid w:val="00E8693D"/>
    <w:rsid w:val="00E97094"/>
    <w:rsid w:val="00EA0D3A"/>
    <w:rsid w:val="00EA7232"/>
    <w:rsid w:val="00EA793F"/>
    <w:rsid w:val="00EB1C45"/>
    <w:rsid w:val="00EB54FD"/>
    <w:rsid w:val="00EB5FBE"/>
    <w:rsid w:val="00EC1075"/>
    <w:rsid w:val="00EC2C78"/>
    <w:rsid w:val="00ED549C"/>
    <w:rsid w:val="00ED5D1B"/>
    <w:rsid w:val="00ED705E"/>
    <w:rsid w:val="00ED76B9"/>
    <w:rsid w:val="00EE0110"/>
    <w:rsid w:val="00EE0157"/>
    <w:rsid w:val="00EE08A5"/>
    <w:rsid w:val="00EE2662"/>
    <w:rsid w:val="00EE2A70"/>
    <w:rsid w:val="00EE6731"/>
    <w:rsid w:val="00EE771B"/>
    <w:rsid w:val="00EF2B5A"/>
    <w:rsid w:val="00EF3C1E"/>
    <w:rsid w:val="00F02869"/>
    <w:rsid w:val="00F02917"/>
    <w:rsid w:val="00F03957"/>
    <w:rsid w:val="00F06A7C"/>
    <w:rsid w:val="00F10C2E"/>
    <w:rsid w:val="00F175B3"/>
    <w:rsid w:val="00F220B1"/>
    <w:rsid w:val="00F25C9C"/>
    <w:rsid w:val="00F30554"/>
    <w:rsid w:val="00F46712"/>
    <w:rsid w:val="00F502AD"/>
    <w:rsid w:val="00F53277"/>
    <w:rsid w:val="00F621F8"/>
    <w:rsid w:val="00F627ED"/>
    <w:rsid w:val="00F62965"/>
    <w:rsid w:val="00F64BB2"/>
    <w:rsid w:val="00F72E73"/>
    <w:rsid w:val="00F7454A"/>
    <w:rsid w:val="00F76CD6"/>
    <w:rsid w:val="00F83BF7"/>
    <w:rsid w:val="00F9326B"/>
    <w:rsid w:val="00F955A7"/>
    <w:rsid w:val="00FA01C5"/>
    <w:rsid w:val="00FA15A7"/>
    <w:rsid w:val="00FA18B2"/>
    <w:rsid w:val="00FA5CBA"/>
    <w:rsid w:val="00FA72E2"/>
    <w:rsid w:val="00FB1F33"/>
    <w:rsid w:val="00FB544F"/>
    <w:rsid w:val="00FB5A5F"/>
    <w:rsid w:val="00FB7B48"/>
    <w:rsid w:val="00FD427C"/>
    <w:rsid w:val="00FD589A"/>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107851880">
      <w:bodyDiv w:val="1"/>
      <w:marLeft w:val="0"/>
      <w:marRight w:val="0"/>
      <w:marTop w:val="0"/>
      <w:marBottom w:val="0"/>
      <w:divBdr>
        <w:top w:val="none" w:sz="0" w:space="0" w:color="auto"/>
        <w:left w:val="none" w:sz="0" w:space="0" w:color="auto"/>
        <w:bottom w:val="none" w:sz="0" w:space="0" w:color="auto"/>
        <w:right w:val="none" w:sz="0" w:space="0" w:color="auto"/>
      </w:divBdr>
    </w:div>
    <w:div w:id="1321881499">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 w:id="21420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zak.kr-karlovarsky.cz/profile_display_69.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274A-55F7-4F37-9F73-0CCF0F18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3742</Words>
  <Characters>22080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6</cp:revision>
  <cp:lastPrinted>2020-12-17T12:01:00Z</cp:lastPrinted>
  <dcterms:created xsi:type="dcterms:W3CDTF">2020-12-17T10:50:00Z</dcterms:created>
  <dcterms:modified xsi:type="dcterms:W3CDTF">2020-12-17T12:02:00Z</dcterms:modified>
</cp:coreProperties>
</file>