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B60001" w:rsidRDefault="00E4121C" w:rsidP="00B6000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Dětský domov Mariánské Lázně a Aš</w:t>
      </w:r>
      <w:r w:rsidR="00B60001">
        <w:rPr>
          <w:rFonts w:ascii="Arial" w:hAnsi="Arial" w:cs="Arial"/>
          <w:b/>
          <w:i/>
        </w:rPr>
        <w:t>, příspěvková organizace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E4121C">
        <w:rPr>
          <w:rFonts w:ascii="Arial" w:hAnsi="Arial" w:cs="Arial"/>
        </w:rPr>
        <w:t>Palackého 191/101, 353 01 Mariánské Lázně</w:t>
      </w:r>
    </w:p>
    <w:p w:rsidR="00B60001" w:rsidRDefault="00E4121C" w:rsidP="00B60001">
      <w:pPr>
        <w:rPr>
          <w:rFonts w:ascii="Arial" w:hAnsi="Arial" w:cs="Arial"/>
        </w:rPr>
      </w:pPr>
      <w:r>
        <w:rPr>
          <w:rFonts w:ascii="Arial" w:hAnsi="Arial" w:cs="Arial"/>
        </w:rPr>
        <w:t>IČO:  47723424</w:t>
      </w:r>
      <w:r w:rsidR="00B60001">
        <w:rPr>
          <w:rFonts w:ascii="Arial" w:hAnsi="Arial" w:cs="Arial"/>
        </w:rPr>
        <w:t xml:space="preserve">                  </w:t>
      </w:r>
      <w:r w:rsidR="00B60001">
        <w:rPr>
          <w:rFonts w:ascii="Arial" w:hAnsi="Arial" w:cs="Arial"/>
        </w:rPr>
        <w:tab/>
      </w:r>
      <w:r w:rsidR="00B60001">
        <w:rPr>
          <w:rFonts w:ascii="Arial" w:hAnsi="Arial" w:cs="Arial"/>
        </w:rPr>
        <w:tab/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</w:t>
      </w:r>
      <w:r w:rsidR="00E4121C">
        <w:rPr>
          <w:rFonts w:ascii="Arial" w:hAnsi="Arial" w:cs="Arial"/>
        </w:rPr>
        <w:t>8875450297/</w:t>
      </w:r>
      <w:r>
        <w:rPr>
          <w:rFonts w:ascii="Arial" w:hAnsi="Arial" w:cs="Arial"/>
        </w:rPr>
        <w:t>0100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</w:t>
      </w:r>
      <w:r w:rsidR="00E4121C">
        <w:rPr>
          <w:rFonts w:ascii="Arial" w:hAnsi="Arial" w:cs="Arial"/>
        </w:rPr>
        <w:t>Mgr. Ivana Dudarcová</w:t>
      </w:r>
    </w:p>
    <w:p w:rsidR="001B67ED" w:rsidRDefault="001B67ED" w:rsidP="00B60001">
      <w:pPr>
        <w:rPr>
          <w:rFonts w:ascii="Arial" w:hAnsi="Arial" w:cs="Arial"/>
          <w:i/>
        </w:rPr>
      </w:pPr>
    </w:p>
    <w:p w:rsidR="001A6DD5" w:rsidRPr="00BD3728" w:rsidRDefault="001A6DD5" w:rsidP="00B6000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E4121C">
        <w:rPr>
          <w:rFonts w:ascii="Arial" w:hAnsi="Arial" w:cs="Arial"/>
          <w:i/>
        </w:rPr>
        <w:t>kupující</w:t>
      </w:r>
      <w:r w:rsidRPr="00BD3728">
        <w:rPr>
          <w:rFonts w:ascii="Arial" w:hAnsi="Arial" w:cs="Arial"/>
          <w:i/>
        </w:rPr>
        <w:t>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</w:t>
      </w:r>
      <w:r w:rsidR="00E4121C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 w:rsidR="00B278B4">
        <w:rPr>
          <w:rFonts w:cs="Arial"/>
          <w:sz w:val="20"/>
          <w:szCs w:val="20"/>
        </w:rPr>
        <w:t>kupujícím jako zadavatelem</w:t>
      </w:r>
      <w:r w:rsidRPr="001A6DD5">
        <w:rPr>
          <w:rFonts w:cs="Arial"/>
          <w:sz w:val="20"/>
          <w:szCs w:val="20"/>
        </w:rPr>
        <w:t xml:space="preserve"> </w:t>
      </w:r>
      <w:r w:rsidR="00B278B4">
        <w:rPr>
          <w:rFonts w:cs="Arial"/>
          <w:sz w:val="20"/>
          <w:szCs w:val="20"/>
        </w:rPr>
        <w:t xml:space="preserve">veřejné zakázky malého rozsahu </w:t>
      </w:r>
      <w:r w:rsidRPr="001A6DD5">
        <w:rPr>
          <w:rFonts w:cs="Arial"/>
          <w:sz w:val="20"/>
          <w:szCs w:val="20"/>
        </w:rPr>
        <w:t xml:space="preserve">(zadávací dokumentace je externí přílohou této smlouvy uloženou u </w:t>
      </w:r>
      <w:r>
        <w:rPr>
          <w:rFonts w:cs="Arial"/>
          <w:sz w:val="20"/>
          <w:szCs w:val="20"/>
        </w:rPr>
        <w:t>zadavatele</w:t>
      </w:r>
      <w:r w:rsidRPr="001A6DD5">
        <w:rPr>
          <w:rFonts w:cs="Arial"/>
          <w:sz w:val="20"/>
          <w:szCs w:val="20"/>
        </w:rPr>
        <w:t>) 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>
        <w:rPr>
          <w:rFonts w:cs="Arial"/>
          <w:sz w:val="20"/>
          <w:szCs w:val="20"/>
        </w:rPr>
        <w:t xml:space="preserve">5 let </w:t>
      </w:r>
      <w:r w:rsidRPr="00BD3728">
        <w:rPr>
          <w:rFonts w:cs="Arial"/>
          <w:sz w:val="20"/>
          <w:szCs w:val="20"/>
        </w:rPr>
        <w:t xml:space="preserve">ode dne řádného dodání předmětu koupě kupujícímu </w:t>
      </w:r>
      <w:r>
        <w:rPr>
          <w:rFonts w:cs="Arial"/>
          <w:sz w:val="20"/>
          <w:szCs w:val="20"/>
        </w:rPr>
        <w:t>bez omezení najetými kilometry</w:t>
      </w:r>
      <w:r w:rsidRPr="00BD3728">
        <w:rPr>
          <w:rFonts w:cs="Arial"/>
          <w:sz w:val="20"/>
          <w:szCs w:val="20"/>
        </w:rPr>
        <w:t xml:space="preserve">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případě, že budou kupujícím po převzetí předmětu koupě na tomto zjištěny vady, má kupující právo uplatnit vůči prodávajícímu nároky v souladu s ust.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bookmarkStart w:id="5" w:name="_GoBack"/>
      <w:bookmarkEnd w:id="5"/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kupujícího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333695" w:rsidP="001A6DD5">
      <w:pPr>
        <w:jc w:val="center"/>
      </w:pPr>
    </w:p>
    <w:sectPr w:rsidR="00F37043" w:rsidSect="0063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DD5"/>
    <w:rsid w:val="001A6DD5"/>
    <w:rsid w:val="001B67ED"/>
    <w:rsid w:val="001F7E78"/>
    <w:rsid w:val="002E61D9"/>
    <w:rsid w:val="00333695"/>
    <w:rsid w:val="003C442D"/>
    <w:rsid w:val="004B2EAB"/>
    <w:rsid w:val="00631E22"/>
    <w:rsid w:val="00664392"/>
    <w:rsid w:val="00670054"/>
    <w:rsid w:val="00714E27"/>
    <w:rsid w:val="00844E71"/>
    <w:rsid w:val="009545A1"/>
    <w:rsid w:val="00963C7B"/>
    <w:rsid w:val="009A11D7"/>
    <w:rsid w:val="009F159C"/>
    <w:rsid w:val="00B278B4"/>
    <w:rsid w:val="00B3053D"/>
    <w:rsid w:val="00B60001"/>
    <w:rsid w:val="00BC578C"/>
    <w:rsid w:val="00C16BA0"/>
    <w:rsid w:val="00C424D2"/>
    <w:rsid w:val="00C46E7E"/>
    <w:rsid w:val="00C750E0"/>
    <w:rsid w:val="00CC3097"/>
    <w:rsid w:val="00CC78CB"/>
    <w:rsid w:val="00CE4B1B"/>
    <w:rsid w:val="00D73BF1"/>
    <w:rsid w:val="00E4121C"/>
    <w:rsid w:val="00EF3F00"/>
    <w:rsid w:val="00F54767"/>
    <w:rsid w:val="00F9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2496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Acer</cp:lastModifiedBy>
  <cp:revision>2</cp:revision>
  <cp:lastPrinted>2018-10-18T12:14:00Z</cp:lastPrinted>
  <dcterms:created xsi:type="dcterms:W3CDTF">2018-11-23T12:35:00Z</dcterms:created>
  <dcterms:modified xsi:type="dcterms:W3CDTF">2018-11-23T12:35:00Z</dcterms:modified>
</cp:coreProperties>
</file>